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March ___,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Panda Energy International, Inc.</w:t>
      </w:r>
    </w:p>
    <w:p>
      <w:pPr>
        <w:pStyle w:val="Normal"/>
        <w:widowControl/>
        <w:bidi w:val="0"/>
        <w:jc w:val="both"/>
        <w:rPr>
          <w:sz w:val="22"/>
        </w:rPr>
      </w:pPr>
      <w:r>
        <w:rPr>
          <w:sz w:val="22"/>
        </w:rPr>
        <w:t>4100 Spring Valley, Suite 100</w:t>
      </w:r>
    </w:p>
    <w:p>
      <w:pPr>
        <w:pStyle w:val="Normal"/>
        <w:widowControl/>
        <w:bidi w:val="0"/>
        <w:jc w:val="both"/>
        <w:rPr>
          <w:sz w:val="22"/>
        </w:rPr>
      </w:pPr>
      <w:r>
        <w:rPr>
          <w:sz w:val="22"/>
        </w:rPr>
        <w:t>Dallas, Texas    75244</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 xml:space="preserve">Re:    </w:t>
      </w:r>
      <w:r>
        <w:rPr>
          <w:strike/>
          <w:sz w:val="22"/>
        </w:rPr>
        <w:t>Spawn Energy</w:t>
      </w:r>
      <w:r>
        <w:rPr>
          <w:sz w:val="22"/>
        </w:rPr>
        <w:t xml:space="preserve"> </w:t>
      </w:r>
      <w:r>
        <w:rPr>
          <w:b/>
          <w:sz w:val="22"/>
          <w:u w:val="double"/>
        </w:rPr>
        <w:t>Newco</w:t>
      </w:r>
      <w:r>
        <w:rPr>
          <w:sz w:val="22"/>
        </w:rPr>
        <w:t>,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International, Inc.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Panda is interested in acquiring, membership interests in </w:t>
      </w:r>
      <w:r>
        <w:rPr>
          <w:strike/>
          <w:sz w:val="22"/>
        </w:rPr>
        <w:t>Spawn Energy</w:t>
      </w:r>
      <w:r>
        <w:rPr>
          <w:sz w:val="22"/>
        </w:rPr>
        <w:t xml:space="preserve"> </w:t>
      </w:r>
      <w:r>
        <w:rPr>
          <w:b/>
          <w:sz w:val="22"/>
          <w:u w:val="double"/>
        </w:rPr>
        <w:t>Newco</w:t>
      </w:r>
      <w:r>
        <w:rPr>
          <w:sz w:val="22"/>
        </w:rPr>
        <w:t>,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a date mutually agreeable to the Parties </w:t>
      </w:r>
      <w:r>
        <w:rPr>
          <w:b/>
          <w:sz w:val="22"/>
          <w:u w:val="double"/>
        </w:rPr>
        <w:t>at least five (5), but</w:t>
      </w:r>
      <w:r>
        <w:rPr>
          <w:sz w:val="22"/>
        </w:rPr>
        <w:t xml:space="preserve"> no later than ten (10)</w:t>
      </w:r>
      <w:r>
        <w:rPr>
          <w:b/>
          <w:sz w:val="22"/>
          <w:u w:val="double"/>
        </w:rPr>
        <w:t>,</w:t>
      </w:r>
      <w:r>
        <w:rPr>
          <w:sz w:val="22"/>
        </w:rPr>
        <w:t xml:space="preserve">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payable to the order of ENA in the principal amount of [$65,800,000.00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 xml:space="preserve">Simultaneously with the execution of this Agreement, and as security for fulfillment of Panda’s obligations under this Agreement </w:t>
      </w:r>
      <w:r>
        <w:rPr>
          <w:b/>
          <w:color w:val="000000"/>
          <w:sz w:val="22"/>
          <w:u w:val="double"/>
        </w:rPr>
        <w:t>and the LLC Agreement</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r>
      <w:r>
        <w:rPr>
          <w:color w:val="000000"/>
          <w:sz w:val="22"/>
        </w:rPr>
        <w:tab/>
        <w:t xml:space="preserve">Panda has delivered to ENA a Guaranty Agreement executed by ________________________, pursuant to which ________________________ guarantees payment and performance of the obligations of Panda pursuant to this Agreement </w:t>
      </w:r>
      <w:r>
        <w:rPr>
          <w:b/>
          <w:color w:val="000000"/>
          <w:sz w:val="22"/>
          <w:u w:val="double"/>
        </w:rPr>
        <w:t>and the LLC Agreement</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w:t>
      </w:r>
      <w:r>
        <w:rPr>
          <w:strike/>
          <w:sz w:val="22"/>
        </w:rPr>
        <w:t>second</w:t>
      </w:r>
      <w:r>
        <w:rPr>
          <w:sz w:val="22"/>
        </w:rPr>
        <w:t xml:space="preserve"> </w:t>
      </w:r>
      <w:r>
        <w:rPr>
          <w:b/>
          <w:sz w:val="22"/>
          <w:u w:val="double"/>
        </w:rPr>
        <w:t>next</w:t>
      </w:r>
      <w:r>
        <w:rPr>
          <w:sz w:val="22"/>
        </w:rPr>
        <w:t xml:space="preserve">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Panda and the LLC harmless from and against, </w:t>
      </w:r>
      <w:bookmarkStart w:id="28" w:name="_DV_M26"/>
      <w:r>
        <w:rPr>
          <w:rStyle w:val="DeltaViewInsertion"/>
          <w:color w:val="000000"/>
          <w:sz w:val="22"/>
          <w:u w:val="none"/>
        </w:rPr>
        <w:t xml:space="preserve">any increase in the [Purchase Amount] </w:t>
      </w:r>
      <w:bookmarkStart w:id="29" w:name="_DV_C10"/>
      <w:bookmarkStart w:id="30" w:name="_DV_C12"/>
      <w:bookmarkStart w:id="31" w:name="_DV_M27"/>
      <w:bookmarkEnd w:id="28"/>
      <w:bookmarkEnd w:id="30"/>
      <w:bookmarkEnd w:id="31"/>
      <w:r>
        <w:rPr>
          <w:rStyle w:val="DeltaViewInsertion"/>
          <w:color w:val="000000"/>
          <w:sz w:val="22"/>
          <w:u w:val="none"/>
        </w:rPr>
        <w:t xml:space="preserve">of the Turbine Contract (as of the date of closing), if such increased amount </w:t>
      </w:r>
      <w:bookmarkStart w:id="32" w:name="_DV_C12_Copy_1"/>
      <w:bookmarkStart w:id="33" w:name="_DV_C14"/>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C14_Copy_1"/>
      <w:bookmarkEnd w:id="32"/>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w:t>
      </w:r>
      <w:bookmarkStart w:id="47" w:name="_DV_M37"/>
      <w:r>
        <w:rPr>
          <w:color w:val="000000"/>
          <w:sz w:val="22"/>
        </w:rPr>
        <w:t>Turbine Contract</w:t>
      </w:r>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GE Equipment achieves </w:t>
      </w:r>
      <w:r>
        <w:rPr>
          <w:strike/>
          <w:color w:val="000000"/>
          <w:sz w:val="22"/>
        </w:rPr>
        <w:t>Take Over</w:t>
      </w:r>
      <w:r>
        <w:rPr>
          <w:color w:val="000000"/>
          <w:sz w:val="22"/>
        </w:rPr>
        <w:t xml:space="preserve"> </w:t>
      </w:r>
      <w:r>
        <w:rPr>
          <w:b/>
          <w:color w:val="000000"/>
          <w:sz w:val="22"/>
          <w:u w:val="double"/>
        </w:rPr>
        <w:t>Takeover</w:t>
      </w:r>
      <w:r>
        <w:rPr>
          <w:color w:val="000000"/>
          <w:sz w:val="22"/>
        </w:rPr>
        <w:t>,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w:t>
      </w:r>
      <w:r>
        <w:rPr>
          <w:strike/>
          <w:color w:val="000000"/>
          <w:sz w:val="22"/>
        </w:rPr>
        <w:t>Take Over</w:t>
      </w:r>
      <w:r>
        <w:rPr>
          <w:color w:val="000000"/>
          <w:sz w:val="22"/>
        </w:rPr>
        <w:t xml:space="preserve"> </w:t>
      </w:r>
      <w:r>
        <w:rPr>
          <w:b/>
          <w:color w:val="000000"/>
          <w:sz w:val="22"/>
          <w:u w:val="double"/>
        </w:rPr>
        <w:t>Takeover</w:t>
      </w:r>
      <w:r>
        <w:rPr>
          <w:color w:val="000000"/>
          <w:sz w:val="22"/>
        </w:rPr>
        <w:t xml:space="preserve">, or as otherwise provided in the LLC Agreement. 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 xml:space="preserve">ENA </w:t>
      </w:r>
      <w:r>
        <w:rPr>
          <w:strike/>
          <w:color w:val="000000"/>
          <w:sz w:val="22"/>
        </w:rPr>
        <w:t>shall</w:t>
      </w:r>
      <w:r>
        <w:rPr>
          <w:color w:val="000000"/>
          <w:sz w:val="22"/>
        </w:rPr>
        <w:t xml:space="preserve"> </w:t>
      </w:r>
      <w:r>
        <w:rPr>
          <w:b/>
          <w:color w:val="000000"/>
          <w:sz w:val="22"/>
          <w:u w:val="double"/>
        </w:rPr>
        <w:t>may</w:t>
      </w:r>
      <w:r>
        <w:rPr>
          <w:color w:val="000000"/>
          <w:sz w:val="22"/>
        </w:rPr>
        <w:t xml:space="preserve">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bidi w:val="0"/>
        <w:ind w:firstLine="720"/>
        <w:jc w:val="both"/>
        <w:rPr>
          <w:color w:val="000000"/>
          <w:sz w:val="22"/>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w:t>
      </w:r>
      <w:r>
        <w:rPr>
          <w:strike/>
          <w:color w:val="000000"/>
          <w:sz w:val="22"/>
        </w:rPr>
        <w:t>Take Over</w:t>
      </w:r>
      <w:r>
        <w:rPr>
          <w:color w:val="000000"/>
          <w:sz w:val="22"/>
        </w:rPr>
        <w:t xml:space="preserve"> </w:t>
      </w:r>
      <w:r>
        <w:rPr>
          <w:b/>
          <w:color w:val="000000"/>
          <w:sz w:val="22"/>
          <w:u w:val="double"/>
        </w:rPr>
        <w:t>Takeover</w:t>
      </w:r>
      <w:r>
        <w:rPr>
          <w:color w:val="000000"/>
          <w:sz w:val="22"/>
        </w:rPr>
        <w:t xml:space="preserve">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w:t>
      </w:r>
      <w:r>
        <w:rPr>
          <w:strike/>
          <w:sz w:val="22"/>
        </w:rPr>
        <w:t>, in which event the escrowed funds, plus interest earned thereon, if any, shall be returned to Panda</w:t>
      </w:r>
      <w:r>
        <w:rPr>
          <w:sz w:val="22"/>
        </w:rPr>
        <w:t>.</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56"/>
      <w:bookmarkStart w:id="61" w:name="_DV_M57"/>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M64"/>
      <w:bookmarkEnd w:id="62"/>
      <w:r>
        <w:rPr>
          <w:b/>
          <w:color w:val="000000"/>
          <w:sz w:val="22"/>
        </w:rPr>
        <w:t>(iii)</w:t>
      </w:r>
      <w:r>
        <w:rPr>
          <w:color w:val="000000"/>
          <w:sz w:val="22"/>
        </w:rPr>
        <w:tab/>
        <w:t>No consent, approval or authorization of</w:t>
      </w:r>
      <w:r>
        <w:rPr>
          <w:strike/>
          <w:color w:val="000000"/>
          <w:sz w:val="22"/>
        </w:rPr>
        <w:t>, or declaration, filing or registration with,</w:t>
      </w:r>
      <w:r>
        <w:rPr>
          <w:color w:val="000000"/>
          <w:sz w:val="22"/>
        </w:rPr>
        <w:t xml:space="preserve"> any Person </w:t>
      </w:r>
      <w:r>
        <w:rPr>
          <w:strike/>
          <w:color w:val="000000"/>
          <w:sz w:val="22"/>
        </w:rPr>
        <w:t>or any governmental or regulatory authority</w:t>
      </w:r>
      <w:r>
        <w:rPr>
          <w:color w:val="000000"/>
          <w:sz w:val="22"/>
        </w:rPr>
        <w:t xml:space="preserve">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w:t>
      </w:r>
      <w:r>
        <w:rPr>
          <w:b/>
          <w:color w:val="000000"/>
          <w:sz w:val="22"/>
          <w:u w:val="double"/>
        </w:rPr>
        <w:t>or will be obtained prior to closing</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color w:val="000000"/>
          <w:sz w:val="22"/>
        </w:rPr>
        <w:t>(xiii)</w:t>
      </w:r>
      <w:r>
        <w:rPr>
          <w:color w:val="000000"/>
          <w:sz w:val="22"/>
        </w:rPr>
        <w:tab/>
        <w:t>The Turbine Contract, when delivered by the parties thereto</w:t>
      </w:r>
      <w:bookmarkStart w:id="70" w:name="_DV_M50"/>
      <w:r>
        <w:rPr>
          <w:rStyle w:val="DeltaViewInsertion"/>
          <w:color w:val="000000"/>
          <w:sz w:val="22"/>
          <w:u w:val="none"/>
        </w:rPr>
        <w:t xml:space="preserve"> and at the closing of the Transaction</w:t>
      </w:r>
      <w:bookmarkStart w:id="71" w:name="_DV_C31"/>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4" w:name="_DV_M63"/>
      <w:bookmarkStart w:id="75" w:name="_DV_M69"/>
      <w:bookmarkStart w:id="76" w:name="_DV_M68"/>
      <w:bookmarkStart w:id="77" w:name="_DV_M67"/>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70"/>
      <w:bookmarkEnd w:id="78"/>
      <w:r>
        <w:rPr>
          <w:b/>
          <w:color w:val="000000"/>
          <w:sz w:val="22"/>
        </w:rPr>
        <w:t>(i)</w:t>
      </w:r>
      <w:r>
        <w:rPr>
          <w:color w:val="000000"/>
          <w:sz w:val="22"/>
        </w:rPr>
        <w:tab/>
        <w:t xml:space="preserve">Panda is a corporation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any brokers, finders or agents engaged by Panda, including without limitation, Thomas Young and/or TRY Ventures, in connection with the execution, delivery and performance of this Agreement</w:t>
      </w:r>
      <w:bookmarkStart w:id="82" w:name="_DV_M74"/>
      <w:r>
        <w:rPr>
          <w:color w:val="000000"/>
          <w:sz w:val="22"/>
        </w:rPr>
        <w:t>.</w:t>
      </w:r>
      <w:bookmarkStart w:id="83" w:name="_DV_C40"/>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4" w:name="_DV_M75"/>
      <w:bookmarkStart w:id="85" w:name="_DV_M54"/>
      <w:bookmarkStart w:id="86" w:name="_DV_M49"/>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8" w:name="_DV_M77"/>
      <w:bookmarkEnd w:id="88"/>
      <w:r>
        <w:rPr>
          <w:b/>
          <w:color w:val="000000"/>
          <w:sz w:val="22"/>
        </w:rPr>
        <w:t>12.</w:t>
        <w:tab/>
        <w:t>Governing Law.</w:t>
      </w:r>
      <w:r>
        <w:rPr>
          <w:color w:val="000000"/>
          <w:sz w:val="22"/>
        </w:rPr>
        <w:t>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M81"/>
      <w:r>
        <w:rPr>
          <w:rStyle w:val="DeltaViewInsertion"/>
          <w:b/>
          <w:color w:val="000000"/>
          <w:sz w:val="22"/>
          <w:u w:val="none"/>
        </w:rPr>
        <w:t xml:space="preserve"> or in the LLC Agreement and without limiting any rights, claims and remedies against GE</w:t>
      </w:r>
      <w:bookmarkStart w:id="93" w:name="_DV_C4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92"/>
      <w:bookmarkStart w:id="106" w:name="_DV_M93"/>
      <w:bookmarkStart w:id="107" w:name="_DV_M94"/>
      <w:bookmarkEnd w:id="105"/>
      <w:bookmarkEnd w:id="106"/>
      <w:bookmarkEnd w:id="107"/>
      <w:r>
        <w:rPr>
          <w:color w:val="000000"/>
          <w:sz w:val="22"/>
        </w:rPr>
        <w:t>Panda Energy International, Inc.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4100 Spring Valley, Suite 1001</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Dallas, Texas    75244</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r>
      <w:r>
        <w:rPr>
          <w:strike/>
          <w:color w:val="000000"/>
          <w:sz w:val="22"/>
        </w:rPr>
        <w:t>“Take Over” shall mean the point in time at which the Performance Tests (as defined in the Turbine Contract) have been conducted on the GE Equipment for the purpose of placing the GE Equipment into Commercial Operation (as defined in the Turbine Contract)</w:t>
      </w:r>
      <w:r>
        <w:rPr>
          <w:b/>
          <w:color w:val="000000"/>
          <w:sz w:val="22"/>
          <w:u w:val="double"/>
        </w:rPr>
        <w:t>“Takeover” shall have the meaning given to such term in the Turbine Agreement as of the date of closing</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5" w:name="_DV_M122"/>
      <w:bookmarkEnd w:id="135"/>
      <w:r>
        <w:rPr>
          <w:b/>
          <w:color w:val="000000"/>
          <w:sz w:val="22"/>
        </w:rPr>
        <w:t>PANDA ENERGY INTERNATIONAL, INC.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widowControl/>
        <w:bidi w:val="0"/>
        <w:jc w:val="start"/>
        <w:rPr>
          <w:sz w:val="22"/>
        </w:rPr>
      </w:pPr>
      <w:r>
        <w:rPr>
          <w:sz w:val="22"/>
        </w:rPr>
        <w:t>Exhibit C – Form of Turbine Contract</w:t>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7">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Panda Energy International, Inc.</w:t>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13</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6489</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2001-03-06T19:59:00Z</cp:lastPrinted>
  <dcterms:modified xsi:type="dcterms:W3CDTF">2001-03-06T19:59:00Z</dcterms:modified>
  <cp:revision>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