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rPr>
      </w:pPr>
      <w:r>
        <w:rPr>
          <w:b/>
          <w:i/>
        </w:rPr>
        <w:t>SUMMARY SHEET</w:t>
      </w:r>
    </w:p>
    <w:p>
      <w:pPr>
        <w:pStyle w:val="Normal"/>
        <w:jc w:val="center"/>
        <w:rPr>
          <w:b/>
          <w:i/>
          <w:i/>
        </w:rPr>
      </w:pPr>
      <w:r>
        <w:rPr>
          <w:b/>
          <w:i/>
        </w:rPr>
      </w:r>
    </w:p>
    <w:p>
      <w:pPr>
        <w:pStyle w:val="Normal"/>
        <w:jc w:val="center"/>
        <w:rPr>
          <w:b/>
          <w:i/>
          <w:i/>
        </w:rPr>
      </w:pPr>
      <w:r>
        <w:rPr>
          <w:b/>
          <w:i/>
        </w:rPr>
        <w:t>ENFORCEABILITY OF CLAUSE THAT EXCLUDES CONSEQUENTIAL DAMAGES UNDER MISSISSIPPI LAW</w:t>
      </w:r>
    </w:p>
    <w:p>
      <w:pPr>
        <w:pStyle w:val="Normal"/>
        <w:jc w:val="center"/>
        <w:rPr/>
      </w:pPr>
      <w:r>
        <w:rPr/>
      </w:r>
    </w:p>
    <w:p>
      <w:pPr>
        <w:pStyle w:val="Normal"/>
        <w:rPr/>
      </w:pPr>
      <w:r>
        <w:rPr/>
        <w:tab/>
      </w:r>
    </w:p>
    <w:p>
      <w:pPr>
        <w:pStyle w:val="Normal"/>
        <w:rPr/>
      </w:pPr>
      <w:r>
        <w:rPr/>
      </w:r>
    </w:p>
    <w:p>
      <w:pPr>
        <w:pStyle w:val="Normal"/>
        <w:rPr/>
      </w:pPr>
      <w:r>
        <w:rPr/>
        <w:tab/>
        <w:t>The basic issue here is whether a court applying Mississippi law will uphold and enforce a contractual clause that excludes recovery of consequential damages for breach.</w:t>
      </w:r>
    </w:p>
    <w:p>
      <w:pPr>
        <w:pStyle w:val="Normal"/>
        <w:rPr/>
      </w:pPr>
      <w:r>
        <w:rPr/>
      </w:r>
    </w:p>
    <w:p>
      <w:pPr>
        <w:pStyle w:val="Normal"/>
        <w:rPr>
          <w:b/>
          <w:i/>
          <w:i/>
        </w:rPr>
      </w:pPr>
      <w:r>
        <w:rPr>
          <w:b/>
          <w:i/>
        </w:rPr>
      </w:r>
    </w:p>
    <w:p>
      <w:pPr>
        <w:pStyle w:val="Normal"/>
        <w:rPr>
          <w:b/>
          <w:i/>
          <w:i/>
        </w:rPr>
      </w:pPr>
      <w:r>
        <w:rPr>
          <w:b/>
          <w:i/>
        </w:rPr>
        <w:t>A.</w:t>
        <w:tab/>
        <w:t>If the UCC Applies</w:t>
      </w:r>
    </w:p>
    <w:p>
      <w:pPr>
        <w:pStyle w:val="Normal"/>
        <w:rPr/>
      </w:pPr>
      <w:r>
        <w:rPr/>
      </w:r>
    </w:p>
    <w:p>
      <w:pPr>
        <w:pStyle w:val="Normal"/>
        <w:rPr/>
      </w:pPr>
      <w:r>
        <w:rPr/>
        <w:tab/>
        <w:t>Mississippi has adopted the Uniform Commercial Code, which is found in Title 75 of Mississippi’s Annotated Code.  Section 75-2-719(3) expressly provides that parties can limit or exclude consequential damages:</w:t>
      </w:r>
    </w:p>
    <w:p>
      <w:pPr>
        <w:pStyle w:val="Normal"/>
        <w:rPr/>
      </w:pPr>
      <w:r>
        <w:rPr/>
      </w:r>
    </w:p>
    <w:p>
      <w:pPr>
        <w:pStyle w:val="Normal"/>
        <w:ind w:start="720" w:end="1440"/>
        <w:rPr/>
      </w:pPr>
      <w:r>
        <w:rPr/>
        <w:t>Consequential damages may be limited or excluded unless the limitation or exclusion is unconscionable.</w:t>
      </w:r>
      <w:r>
        <w:rPr>
          <w:rStyle w:val="FootnoteCharacters"/>
          <w:rStyle w:val="FootnoteReference"/>
          <w:b/>
        </w:rPr>
        <w:footnoteReference w:id="2"/>
      </w:r>
    </w:p>
    <w:p>
      <w:pPr>
        <w:pStyle w:val="Normal"/>
        <w:rPr/>
      </w:pPr>
      <w:r>
        <w:rPr/>
      </w:r>
    </w:p>
    <w:p>
      <w:pPr>
        <w:pStyle w:val="Normal"/>
        <w:rPr/>
      </w:pPr>
      <w:r>
        <w:rPr/>
        <w:t>Under Mississippi law, in general, unconscionability involves “an absence of meaningful choice on the part of one of the parties, together with contract terms which are unreasonably favorable to the other party” or a clause that “no man in his senses . . . would make on the one hand, and as no honest and fair man would accept on the other.”</w:t>
      </w:r>
      <w:r>
        <w:rPr>
          <w:rStyle w:val="FootnoteCharacters"/>
          <w:rStyle w:val="FootnoteReference"/>
          <w:b/>
        </w:rPr>
        <w:footnoteReference w:id="3"/>
      </w:r>
      <w:r>
        <w:rPr/>
        <w:t xml:space="preserve">  Unconscionability should not be an issue where — like here — sophisticated parties are involved and the clause is negotiated.</w:t>
      </w:r>
      <w:r>
        <w:rPr>
          <w:rStyle w:val="FootnoteCharacters"/>
          <w:rStyle w:val="FootnoteReference"/>
          <w:b/>
        </w:rPr>
        <w:footnoteReference w:id="4"/>
      </w:r>
    </w:p>
    <w:p>
      <w:pPr>
        <w:pStyle w:val="Normal"/>
        <w:rPr/>
      </w:pPr>
      <w:r>
        <w:rPr/>
      </w:r>
    </w:p>
    <w:p>
      <w:pPr>
        <w:pStyle w:val="Normal"/>
        <w:rPr/>
      </w:pPr>
      <w:r>
        <w:rPr/>
        <w:tab/>
        <w:t>Therefore, under Mississippi’s version of the UCC, a clause excluding consequential damages will be upheld barring a showing of unconscionability.  Research did not reveal any cases where a Mississippi court (or any other court applying Mississippi’s UCC) applied Section 75-2-719(3).</w:t>
      </w:r>
    </w:p>
    <w:p>
      <w:pPr>
        <w:pStyle w:val="Normal"/>
        <w:rPr/>
      </w:pPr>
      <w:r>
        <w:rPr/>
      </w:r>
      <w:r>
        <w:br w:type="page"/>
      </w:r>
    </w:p>
    <w:p>
      <w:pPr>
        <w:pStyle w:val="Normal"/>
        <w:rPr/>
      </w:pPr>
      <w:r>
        <w:rPr/>
      </w:r>
    </w:p>
    <w:p>
      <w:pPr>
        <w:pStyle w:val="Normal"/>
        <w:rPr>
          <w:b/>
          <w:i/>
          <w:i/>
        </w:rPr>
      </w:pPr>
      <w:r>
        <w:rPr>
          <w:b/>
          <w:i/>
        </w:rPr>
        <w:t>B.</w:t>
        <w:tab/>
        <w:t>If the Common Law Applies</w:t>
      </w:r>
    </w:p>
    <w:p>
      <w:pPr>
        <w:pStyle w:val="Normal"/>
        <w:rPr>
          <w:b/>
          <w:i/>
          <w:i/>
        </w:rPr>
      </w:pPr>
      <w:r>
        <w:rPr>
          <w:b/>
          <w:i/>
        </w:rPr>
      </w:r>
    </w:p>
    <w:p>
      <w:pPr>
        <w:pStyle w:val="Normal"/>
        <w:rPr/>
      </w:pPr>
      <w:r>
        <w:rPr/>
        <w:tab/>
        <w:t>Research did not reveal any cases where a Mississippi court, or any other court applying Mississippi law, applied Mississippi common law to a contractual clause (similar to the clause here) that excludes consequential damages.  In general, however, courts in other jurisdictions consistently uphold and enforce such clauses.</w:t>
      </w:r>
      <w:r>
        <w:rPr>
          <w:rStyle w:val="FootnoteCharacters"/>
          <w:rStyle w:val="FootnoteReference"/>
          <w:b/>
        </w:rPr>
        <w:footnoteReference w:id="5"/>
      </w:r>
      <w:r>
        <w:rPr/>
        <w:t xml:space="preserve">  Therefore, as under the UCC, the clause should be upheld unless unconscionable.</w:t>
      </w:r>
      <w:r>
        <w:rPr>
          <w:rStyle w:val="FootnoteCharacters"/>
          <w:rStyle w:val="FootnoteReference"/>
          <w:b/>
        </w:rPr>
        <w:footnoteReference w:id="6"/>
      </w:r>
    </w:p>
    <w:p>
      <w:pPr>
        <w:pStyle w:val="Normal"/>
        <w:rPr/>
      </w:pPr>
      <w:r>
        <w:rPr/>
      </w:r>
    </w:p>
    <w:p>
      <w:pPr>
        <w:pStyle w:val="Normal"/>
        <w:rPr/>
      </w:pPr>
      <w:r>
        <w:rPr/>
        <w:tab/>
        <w:t>Research did reveal that Mississippi common law does uphold “no-damages-for-delay” clauses.  These clauses are similar to the clause at issue here in that they exclude a certain type of consequential damages (delay damages) in a certain contractual situation (construction contracts).  By analogy, Mississippi common law should also uphold more generalized exclusion clauses like the clause at issue here.</w:t>
      </w:r>
      <w:r>
        <w:rPr>
          <w:rStyle w:val="FootnoteCharacters"/>
          <w:rStyle w:val="FootnoteReference"/>
          <w:b/>
        </w:rPr>
        <w:footnoteReference w:id="7"/>
      </w:r>
    </w:p>
    <w:p>
      <w:pPr>
        <w:pStyle w:val="Normal"/>
        <w:rPr/>
      </w:pPr>
      <w:r>
        <w:rPr/>
      </w:r>
    </w:p>
    <w:p>
      <w:pPr>
        <w:pStyle w:val="Normal"/>
        <w:rPr/>
      </w:pPr>
      <w:r>
        <w:rPr/>
        <w:tab/>
        <w:t>Therefore, under Mississippi common law, a clause excluding consequential damages should be upheld barring a showing of unconscionability.  And barring being labeled a  “no-damages-for-delay” clause, in which case four exceptions may apply.</w:t>
      </w:r>
    </w:p>
    <w:p>
      <w:pPr>
        <w:pStyle w:val="Normal"/>
        <w:rPr/>
      </w:pPr>
      <w:r>
        <w:rPr/>
      </w:r>
    </w:p>
    <w:p>
      <w:pPr>
        <w:pStyle w:val="Normal"/>
        <w:rPr/>
      </w:pPr>
      <w:r>
        <w:rPr/>
      </w:r>
    </w:p>
    <w:sectPr>
      <w:footnotePr>
        <w:numFmt w:val="decimal"/>
      </w:footnote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0"/>
        </w:rPr>
        <w:t xml:space="preserve"> </w:t>
      </w:r>
      <w:r>
        <w:rPr>
          <w:sz w:val="20"/>
        </w:rPr>
        <w:tab/>
        <w:t>Miss. Code Ann. § 75-2-719(3) (West 2000).</w:t>
      </w:r>
    </w:p>
  </w:footnote>
  <w:footnote w:id="3">
    <w:p>
      <w:pPr>
        <w:pStyle w:val="FootnoteText"/>
        <w:rPr/>
      </w:pPr>
      <w:r>
        <w:rPr>
          <w:rStyle w:val="FootnoteCharacters"/>
        </w:rPr>
        <w:footnoteRef/>
      </w:r>
      <w:r>
        <w:rPr>
          <w:sz w:val="20"/>
        </w:rPr>
        <w:t xml:space="preserve"> </w:t>
      </w:r>
      <w:r>
        <w:rPr>
          <w:sz w:val="20"/>
        </w:rPr>
        <w:tab/>
      </w:r>
      <w:r>
        <w:rPr>
          <w:i/>
          <w:sz w:val="20"/>
        </w:rPr>
        <w:t>See Entergy Mississippi, Inc. v. Burdette Gin Co</w:t>
      </w:r>
      <w:r>
        <w:rPr>
          <w:sz w:val="20"/>
        </w:rPr>
        <w:t>., 726 So.2d 1202, 1207 (Miss. 1998).</w:t>
      </w:r>
    </w:p>
  </w:footnote>
  <w:footnote w:id="4">
    <w:p>
      <w:pPr>
        <w:pStyle w:val="FootnoteText"/>
        <w:rPr/>
      </w:pPr>
      <w:r>
        <w:rPr>
          <w:rStyle w:val="FootnoteCharacters"/>
        </w:rPr>
        <w:footnoteRef/>
      </w:r>
      <w:r>
        <w:rPr>
          <w:sz w:val="20"/>
        </w:rPr>
        <w:t xml:space="preserve"> </w:t>
      </w:r>
      <w:r>
        <w:rPr>
          <w:sz w:val="20"/>
        </w:rPr>
        <w:tab/>
        <w:t xml:space="preserve">If unconscionability becomes an issue here — which is very unlikely given the sophistication of both parties involved — under Mississippi law, as in most jurisdictions, there are two types of unconscionability, procedural and substantive.  The party attempting to defeat a liability limitation clause can prove </w:t>
      </w:r>
      <w:r>
        <w:rPr>
          <w:b/>
          <w:i/>
          <w:sz w:val="20"/>
        </w:rPr>
        <w:t>procedural unconscionability</w:t>
      </w:r>
      <w:r>
        <w:rPr>
          <w:sz w:val="20"/>
        </w:rPr>
        <w:t xml:space="preserve"> by showing:  (1) lack of knowledge; (2) lack of voluntariness; (3) inconspicuous print; (4) use of complex legalistic language; (5) disparity in sophistication or bargaining power; and (6) lack of opportunity to study the clause.  </w:t>
      </w:r>
      <w:r>
        <w:rPr>
          <w:b/>
          <w:i/>
          <w:sz w:val="20"/>
        </w:rPr>
        <w:t>Substantive unconscionability</w:t>
      </w:r>
      <w:r>
        <w:rPr>
          <w:sz w:val="20"/>
        </w:rPr>
        <w:t xml:space="preserve"> involves establishing that the clause is oppressive.  </w:t>
      </w:r>
      <w:r>
        <w:rPr>
          <w:i/>
          <w:sz w:val="20"/>
        </w:rPr>
        <w:t>See Smith v. Equifirst Corp.</w:t>
      </w:r>
      <w:r>
        <w:rPr>
          <w:sz w:val="20"/>
        </w:rPr>
        <w:t>, 117 F. Supp.2d 557, 560 (S.D. Miss. 2000).</w:t>
      </w:r>
    </w:p>
  </w:footnote>
  <w:footnote w:id="5">
    <w:p>
      <w:pPr>
        <w:pStyle w:val="FootnoteText"/>
        <w:rPr/>
      </w:pPr>
      <w:r>
        <w:rPr>
          <w:rStyle w:val="FootnoteCharacters"/>
        </w:rPr>
        <w:footnoteRef/>
      </w:r>
      <w:r>
        <w:rPr>
          <w:sz w:val="20"/>
        </w:rPr>
        <w:t xml:space="preserve"> </w:t>
      </w:r>
      <w:r>
        <w:rPr>
          <w:sz w:val="20"/>
        </w:rPr>
        <w:tab/>
      </w:r>
      <w:r>
        <w:rPr>
          <w:i/>
          <w:sz w:val="20"/>
        </w:rPr>
        <w:t>See, e.g., Applied Data Processing, Inc. v. Burroughs Corp</w:t>
      </w:r>
      <w:r>
        <w:rPr>
          <w:sz w:val="20"/>
        </w:rPr>
        <w:t xml:space="preserve">., 394 F. Supp. 504 (D. Conn. 1975); </w:t>
      </w:r>
      <w:r>
        <w:rPr>
          <w:i/>
          <w:sz w:val="20"/>
        </w:rPr>
        <w:t>Chestnut Hill Development Corp. v. Otis Elevator Co.</w:t>
      </w:r>
      <w:r>
        <w:rPr>
          <w:sz w:val="20"/>
        </w:rPr>
        <w:t xml:space="preserve">, 653 F. Supp. 927 (D. Mass. 1987); </w:t>
      </w:r>
      <w:r>
        <w:rPr>
          <w:i/>
          <w:sz w:val="20"/>
        </w:rPr>
        <w:t>World Enterprises, Inc. v. Midcoast Aviation Services, Inc.</w:t>
      </w:r>
      <w:r>
        <w:rPr>
          <w:sz w:val="20"/>
        </w:rPr>
        <w:t xml:space="preserve">, 713 S.W.2d 606 (Mo. App. Ct. 1986); </w:t>
      </w:r>
      <w:r>
        <w:rPr>
          <w:i/>
          <w:sz w:val="20"/>
        </w:rPr>
        <w:t>Pinnacle Computer Services, Inc. v. Ameritech Publishing, Inc.</w:t>
      </w:r>
      <w:r>
        <w:rPr>
          <w:sz w:val="20"/>
        </w:rPr>
        <w:t>, 642 N.E.2d 1011 (Ind. App. Ct. 1994).</w:t>
      </w:r>
    </w:p>
  </w:footnote>
  <w:footnote w:id="6">
    <w:p>
      <w:pPr>
        <w:pStyle w:val="FootnoteText"/>
        <w:rPr/>
      </w:pPr>
      <w:r>
        <w:rPr>
          <w:rStyle w:val="FootnoteCharacters"/>
        </w:rPr>
        <w:footnoteRef/>
      </w:r>
      <w:r>
        <w:rPr>
          <w:sz w:val="20"/>
        </w:rPr>
        <w:t xml:space="preserve"> </w:t>
      </w:r>
      <w:r>
        <w:rPr>
          <w:sz w:val="20"/>
        </w:rPr>
        <w:tab/>
        <w:t>The standard for unconscionability discussed previously in connection with the UCC should also apply under the common law.</w:t>
      </w:r>
    </w:p>
  </w:footnote>
  <w:footnote w:id="7">
    <w:p>
      <w:pPr>
        <w:pStyle w:val="FootnoteText"/>
        <w:rPr/>
      </w:pPr>
      <w:r>
        <w:rPr>
          <w:rStyle w:val="FootnoteCharacters"/>
        </w:rPr>
        <w:footnoteRef/>
      </w:r>
      <w:r>
        <w:rPr>
          <w:sz w:val="20"/>
        </w:rPr>
        <w:t xml:space="preserve"> </w:t>
      </w:r>
      <w:r>
        <w:rPr>
          <w:sz w:val="20"/>
        </w:rPr>
        <w:tab/>
        <w:t xml:space="preserve">If the clause at issue here were to be labeled a “no-damages-for-delay” clause, the Mississippi Supreme Court has recognized several exceptions in which a trial court should not honor such a clause: (1) the delay was not contemplated; (2) party seeking benefit of clause inserted clause through bad faith or fraud; (3) delay is so unreasonable that party delayed would be justified in abandoning the contract; and (4) the delay is not within the specifically enumerated delays to which the clause applies.  </w:t>
      </w:r>
      <w:r>
        <w:rPr>
          <w:i/>
          <w:sz w:val="20"/>
        </w:rPr>
        <w:t>See Mississippi Transp. Comm’n v. SCI, Inc.</w:t>
      </w:r>
      <w:r>
        <w:rPr>
          <w:sz w:val="20"/>
        </w:rPr>
        <w:t xml:space="preserve">, 717 So.2d 332, 338 (Miss. 1998).  Furthermore, Mississippi courts will construe such clauses strictly against the party who seeks the clause’s benefit.  </w:t>
      </w:r>
      <w:r>
        <w:rPr>
          <w:i/>
          <w:sz w:val="20"/>
        </w:rPr>
        <w:t>See id</w:t>
      </w:r>
      <w:r>
        <w:rPr>
          <w:sz w:val="20"/>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2001-02-28T13:37:00Z</dcterms:created>
  <dc:creator>Greg Evans</dc:creator>
  <dc:description/>
  <dc:language>en-CA</dc:language>
  <cp:lastModifiedBy>Greg Evans</cp:lastModifiedBy>
  <cp:lastPrinted>2001-02-28T13:44:00Z</cp:lastPrinted>
  <dcterms:modified xsi:type="dcterms:W3CDTF">2001-02-28T15:10:00Z</dcterms:modified>
  <cp:revision>5</cp:revision>
  <dc:subject/>
  <dc:title>SUMMARY SHEET</dc:title>
</cp:coreProperties>
</file>