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t>[ENA Letterhead]</w:t>
      </w:r>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t>January 8, 2001</w:t>
      </w:r>
    </w:p>
    <w:p>
      <w:pPr>
        <w:pStyle w:val="Normal"/>
        <w:jc w:val="both"/>
        <w:rPr>
          <w:rFonts w:ascii="Times New Roman" w:hAnsi="Times New Roman" w:cs="Times New Roman"/>
          <w:b/>
          <w:kern w:val="0"/>
          <w:sz w:val="22"/>
        </w:rPr>
      </w:pPr>
      <w:r>
        <w:rPr>
          <w:rFonts w:cs="Times New Roman"/>
          <w:b/>
          <w:kern w:val="0"/>
          <w:sz w:val="22"/>
        </w:rPr>
      </w:r>
    </w:p>
    <w:p>
      <w:pPr>
        <w:pStyle w:val="Normal"/>
        <w:jc w:val="both"/>
        <w:rPr>
          <w:b/>
          <w:i/>
          <w:i/>
          <w:sz w:val="22"/>
          <w:u w:val="single"/>
        </w:rPr>
      </w:pPr>
      <w:r>
        <w:rPr>
          <w:b/>
          <w:i/>
          <w:sz w:val="22"/>
          <w:u w:val="single"/>
        </w:rPr>
        <w:t>Via Courier</w:t>
      </w:r>
    </w:p>
    <w:p>
      <w:pPr>
        <w:pStyle w:val="Normal"/>
        <w:jc w:val="both"/>
        <w:rPr>
          <w:b/>
          <w:i/>
          <w:i/>
          <w:sz w:val="22"/>
          <w:u w:val="single"/>
        </w:rPr>
      </w:pPr>
      <w:r>
        <w:rPr>
          <w:b/>
          <w:i/>
          <w:sz w:val="22"/>
          <w:u w:val="single"/>
        </w:rPr>
      </w:r>
    </w:p>
    <w:p>
      <w:pPr>
        <w:pStyle w:val="Normal"/>
        <w:jc w:val="both"/>
        <w:rPr>
          <w:sz w:val="22"/>
        </w:rPr>
      </w:pPr>
      <w:bookmarkStart w:id="0" w:name="_DV_M1"/>
      <w:bookmarkEnd w:id="0"/>
      <w:r>
        <w:rPr>
          <w:sz w:val="22"/>
        </w:rPr>
        <w:t>Sweetgum Energy LP</w:t>
      </w:r>
    </w:p>
    <w:p>
      <w:pPr>
        <w:pStyle w:val="Normal"/>
        <w:jc w:val="both"/>
        <w:rPr>
          <w:sz w:val="22"/>
        </w:rPr>
      </w:pPr>
      <w:bookmarkStart w:id="1" w:name="_DV_M2"/>
      <w:bookmarkEnd w:id="1"/>
      <w:r>
        <w:rPr>
          <w:sz w:val="22"/>
        </w:rPr>
        <w:t>c/o InterGen North America LP</w:t>
      </w:r>
    </w:p>
    <w:p>
      <w:pPr>
        <w:pStyle w:val="Normal"/>
        <w:jc w:val="both"/>
        <w:rPr>
          <w:sz w:val="22"/>
        </w:rPr>
      </w:pPr>
      <w:bookmarkStart w:id="2" w:name="_DV_M3"/>
      <w:bookmarkEnd w:id="2"/>
      <w:r>
        <w:rPr>
          <w:sz w:val="22"/>
        </w:rPr>
        <w:t>909 Fannin, Suite 2200</w:t>
      </w:r>
    </w:p>
    <w:p>
      <w:pPr>
        <w:pStyle w:val="Normal"/>
        <w:jc w:val="both"/>
        <w:rPr>
          <w:b/>
          <w:sz w:val="22"/>
        </w:rPr>
      </w:pPr>
      <w:bookmarkStart w:id="3" w:name="_DV_M4"/>
      <w:bookmarkEnd w:id="3"/>
      <w:r>
        <w:rPr>
          <w:sz w:val="22"/>
        </w:rPr>
        <w:t>Houston, Texas  77010</w:t>
      </w:r>
    </w:p>
    <w:p>
      <w:pPr>
        <w:pStyle w:val="Normal"/>
        <w:jc w:val="both"/>
        <w:rPr>
          <w:b/>
          <w:sz w:val="22"/>
        </w:rPr>
      </w:pPr>
      <w:r>
        <w:rPr>
          <w:b/>
          <w:sz w:val="22"/>
        </w:rPr>
      </w:r>
    </w:p>
    <w:p>
      <w:pPr>
        <w:pStyle w:val="Normal"/>
        <w:jc w:val="both"/>
        <w:rPr>
          <w:sz w:val="22"/>
        </w:rPr>
      </w:pPr>
      <w:r>
        <w:rPr>
          <w:sz w:val="22"/>
        </w:rPr>
        <w:t>Attention:</w:t>
        <w:tab/>
        <w:t>President</w:t>
      </w:r>
    </w:p>
    <w:p>
      <w:pPr>
        <w:pStyle w:val="Normal"/>
        <w:jc w:val="both"/>
        <w:rPr>
          <w:sz w:val="22"/>
        </w:rPr>
      </w:pPr>
      <w:r>
        <w:rPr>
          <w:sz w:val="22"/>
        </w:rPr>
      </w:r>
    </w:p>
    <w:p>
      <w:pPr>
        <w:pStyle w:val="Normal"/>
        <w:jc w:val="both"/>
        <w:rPr>
          <w:sz w:val="22"/>
        </w:rPr>
      </w:pPr>
      <w:r>
        <w:rPr>
          <w:sz w:val="22"/>
        </w:rPr>
      </w:r>
      <w:bookmarkStart w:id="4" w:name="_DV_M5"/>
      <w:bookmarkStart w:id="5" w:name="_DV_M5"/>
      <w:bookmarkEnd w:id="5"/>
    </w:p>
    <w:p>
      <w:pPr>
        <w:pStyle w:val="Normal"/>
        <w:ind w:hanging="720" w:start="1440" w:end="0"/>
        <w:jc w:val="both"/>
        <w:rPr/>
      </w:pPr>
      <w:r>
        <w:rPr>
          <w:sz w:val="22"/>
        </w:rPr>
        <w:t>Re:</w:t>
        <w:tab/>
        <w:t>Letter Agreement dated December 27, 2000 (the “</w:t>
      </w:r>
      <w:r>
        <w:rPr>
          <w:sz w:val="22"/>
          <w:u w:val="single"/>
        </w:rPr>
        <w:t>CA-I Letter Agreement</w:t>
      </w:r>
      <w:r>
        <w:rPr>
          <w:sz w:val="22"/>
        </w:rPr>
        <w:t>”) between Enron North America Corp. (“</w:t>
      </w:r>
      <w:r>
        <w:rPr>
          <w:sz w:val="22"/>
          <w:u w:val="single"/>
        </w:rPr>
        <w:t>ENA</w:t>
      </w:r>
      <w:r>
        <w:rPr>
          <w:sz w:val="22"/>
        </w:rPr>
        <w:t>”) and Sweetgum Energy LP (“</w:t>
      </w:r>
      <w:r>
        <w:rPr>
          <w:sz w:val="22"/>
          <w:u w:val="single"/>
        </w:rPr>
        <w:t>SEL</w:t>
      </w:r>
      <w:r>
        <w:rPr>
          <w:sz w:val="22"/>
        </w:rPr>
        <w:t>”) pertaining to CA Energy Development I, LLC and rights associated with the purchase of one turbine generator set</w:t>
      </w:r>
    </w:p>
    <w:p>
      <w:pPr>
        <w:pStyle w:val="Normal"/>
        <w:jc w:val="both"/>
        <w:rPr>
          <w:sz w:val="22"/>
        </w:rPr>
      </w:pPr>
      <w:r>
        <w:rPr>
          <w:sz w:val="22"/>
        </w:rPr>
      </w:r>
    </w:p>
    <w:p>
      <w:pPr>
        <w:pStyle w:val="Normal"/>
        <w:ind w:start="1440" w:end="0"/>
        <w:jc w:val="both"/>
        <w:rPr/>
      </w:pPr>
      <w:r>
        <w:rPr>
          <w:sz w:val="22"/>
        </w:rPr>
        <w:t>Letter Agreement dated December 27, 2000 (the “</w:t>
      </w:r>
      <w:r>
        <w:rPr>
          <w:sz w:val="22"/>
          <w:u w:val="single"/>
        </w:rPr>
        <w:t>CA-II Letter Agreement</w:t>
      </w:r>
      <w:r>
        <w:rPr>
          <w:sz w:val="22"/>
        </w:rPr>
        <w:t>”) between ENA and SEL pertaining to CA Energy Development II, LLC and rights associated with the purchase of one turbine generator set</w:t>
      </w:r>
    </w:p>
    <w:p>
      <w:pPr>
        <w:pStyle w:val="Normal"/>
        <w:jc w:val="both"/>
        <w:rPr>
          <w:sz w:val="22"/>
        </w:rPr>
      </w:pPr>
      <w:r>
        <w:rPr>
          <w:sz w:val="22"/>
        </w:rPr>
      </w:r>
    </w:p>
    <w:p>
      <w:pPr>
        <w:pStyle w:val="Normal"/>
        <w:ind w:start="1440" w:end="0"/>
        <w:jc w:val="both"/>
        <w:rPr/>
      </w:pPr>
      <w:r>
        <w:rPr>
          <w:sz w:val="22"/>
        </w:rPr>
        <w:t>Letter Agreement dated December 27, 2000 (the “</w:t>
      </w:r>
      <w:r>
        <w:rPr>
          <w:sz w:val="22"/>
          <w:u w:val="single"/>
        </w:rPr>
        <w:t>Transformer Letter Agreement</w:t>
      </w:r>
      <w:r>
        <w:rPr>
          <w:sz w:val="22"/>
        </w:rPr>
        <w:t>”) between ENA and SEL pertaining to CA Energy Development II, LLC and rights associated with the purchase of one generator step-up transformer</w:t>
      </w:r>
    </w:p>
    <w:p>
      <w:pPr>
        <w:pStyle w:val="Normal"/>
        <w:jc w:val="both"/>
        <w:rPr>
          <w:sz w:val="22"/>
        </w:rPr>
      </w:pPr>
      <w:r>
        <w:rPr>
          <w:sz w:val="22"/>
        </w:rPr>
      </w:r>
    </w:p>
    <w:p>
      <w:pPr>
        <w:pStyle w:val="Normal"/>
        <w:jc w:val="both"/>
        <w:rPr>
          <w:sz w:val="22"/>
        </w:rPr>
      </w:pPr>
      <w:r>
        <w:rPr>
          <w:sz w:val="22"/>
        </w:rPr>
      </w:r>
    </w:p>
    <w:p>
      <w:pPr>
        <w:pStyle w:val="Normal"/>
        <w:jc w:val="both"/>
        <w:rPr>
          <w:sz w:val="22"/>
        </w:rPr>
      </w:pPr>
      <w:bookmarkStart w:id="6" w:name="_DV_M7"/>
      <w:bookmarkEnd w:id="6"/>
      <w:r>
        <w:rPr>
          <w:sz w:val="22"/>
        </w:rPr>
        <w:t>Gentlemen:</w:t>
      </w:r>
    </w:p>
    <w:p>
      <w:pPr>
        <w:pStyle w:val="Normal"/>
        <w:jc w:val="both"/>
        <w:rPr>
          <w:sz w:val="22"/>
        </w:rPr>
      </w:pPr>
      <w:r>
        <w:rPr>
          <w:sz w:val="22"/>
        </w:rPr>
      </w:r>
    </w:p>
    <w:p>
      <w:pPr>
        <w:pStyle w:val="Normal"/>
        <w:ind w:firstLine="720" w:end="0"/>
        <w:jc w:val="both"/>
        <w:rPr>
          <w:sz w:val="22"/>
        </w:rPr>
      </w:pPr>
      <w:bookmarkStart w:id="7" w:name="_DV_M8"/>
      <w:bookmarkEnd w:id="7"/>
      <w:r>
        <w:rPr>
          <w:sz w:val="22"/>
        </w:rPr>
        <w:t xml:space="preserve">Pursuant to Section 3 of the CA-I Letter Agreement, the CA-II Letter Agreement, and the Transformer Letter Agreement, we have enclosed the following for your review:  </w:t>
      </w:r>
    </w:p>
    <w:p>
      <w:pPr>
        <w:pStyle w:val="Normal"/>
        <w:jc w:val="both"/>
        <w:rPr>
          <w:sz w:val="22"/>
        </w:rPr>
      </w:pPr>
      <w:r>
        <w:rPr>
          <w:sz w:val="22"/>
        </w:rPr>
      </w:r>
    </w:p>
    <w:p>
      <w:pPr>
        <w:pStyle w:val="Normal"/>
        <w:ind w:firstLine="720" w:start="720" w:end="0"/>
        <w:jc w:val="both"/>
        <w:rPr/>
      </w:pPr>
      <w:bookmarkStart w:id="8" w:name="_DV_M9"/>
      <w:bookmarkEnd w:id="8"/>
      <w:r>
        <w:rPr>
          <w:sz w:val="22"/>
        </w:rPr>
        <w:t>1.</w:t>
      </w:r>
      <w:r>
        <w:rPr>
          <w:b/>
          <w:sz w:val="22"/>
        </w:rPr>
        <w:tab/>
      </w:r>
      <w:r>
        <w:rPr>
          <w:sz w:val="22"/>
        </w:rPr>
        <w:t xml:space="preserve">Final execution form of the Facility Agreement to be executed by and between GE Packaged Power, Inc. and CA Energy Development I, LLC pertaining to the purchase of one turbine generator set (clean copy and copy marked to reflect changes from the form </w:t>
      </w:r>
      <w:r>
        <w:rPr>
          <w:color w:val="000000"/>
          <w:sz w:val="22"/>
        </w:rPr>
        <w:t xml:space="preserve">of agreement, including all exhibits and schedules thereto, </w:t>
      </w:r>
      <w:r>
        <w:rPr>
          <w:sz w:val="22"/>
        </w:rPr>
        <w:t>attached as Exhibit A to the CA-I Letter Agreement);</w:t>
      </w:r>
    </w:p>
    <w:p>
      <w:pPr>
        <w:pStyle w:val="Normal"/>
        <w:ind w:firstLine="720" w:end="0"/>
        <w:jc w:val="both"/>
        <w:rPr>
          <w:sz w:val="22"/>
        </w:rPr>
      </w:pPr>
      <w:r>
        <w:rPr>
          <w:sz w:val="22"/>
        </w:rPr>
      </w:r>
    </w:p>
    <w:p>
      <w:pPr>
        <w:pStyle w:val="Normal"/>
        <w:ind w:firstLine="720" w:start="720" w:end="0"/>
        <w:jc w:val="both"/>
        <w:rPr/>
      </w:pPr>
      <w:r>
        <w:rPr>
          <w:sz w:val="22"/>
        </w:rPr>
        <w:t>2.</w:t>
      </w:r>
      <w:r>
        <w:rPr>
          <w:b/>
          <w:sz w:val="22"/>
        </w:rPr>
        <w:tab/>
      </w:r>
      <w:r>
        <w:rPr>
          <w:sz w:val="22"/>
        </w:rPr>
        <w:t xml:space="preserve">Final execution form of the Facility Agreement to be executed by and between GE Packaged Power, Inc. and CA Energy Development II, LLC pertaining to the purchase of one turbine generator set (clean copy and copy marked to reflect changes from the form </w:t>
      </w:r>
      <w:r>
        <w:rPr>
          <w:color w:val="000000"/>
          <w:sz w:val="22"/>
        </w:rPr>
        <w:t xml:space="preserve">of agreement, including all exhibits and schedules thereto, </w:t>
      </w:r>
      <w:r>
        <w:rPr>
          <w:sz w:val="22"/>
        </w:rPr>
        <w:t>attached as Exhibit A to the CA-II Letter Agreement); and</w:t>
      </w:r>
    </w:p>
    <w:p>
      <w:pPr>
        <w:pStyle w:val="Normal"/>
        <w:ind w:firstLine="720" w:end="0"/>
        <w:jc w:val="both"/>
        <w:rPr>
          <w:sz w:val="22"/>
        </w:rPr>
      </w:pPr>
      <w:r>
        <w:rPr>
          <w:sz w:val="22"/>
        </w:rPr>
      </w:r>
    </w:p>
    <w:p>
      <w:pPr>
        <w:pStyle w:val="Normal"/>
        <w:ind w:firstLine="720" w:start="720" w:end="0"/>
        <w:jc w:val="both"/>
        <w:rPr/>
      </w:pPr>
      <w:r>
        <w:rPr>
          <w:sz w:val="22"/>
        </w:rPr>
        <w:t>3.</w:t>
      </w:r>
      <w:r>
        <w:rPr>
          <w:b/>
          <w:sz w:val="22"/>
        </w:rPr>
        <w:tab/>
      </w:r>
      <w:r>
        <w:rPr>
          <w:sz w:val="22"/>
        </w:rPr>
        <w:t>Final execution form of the Facility Agreement to be executed by and between ABB Power T &amp; D Company and CA Energy Development II, LLC, pertaining to the purchase of one power transformer package (clean copy and copy marked to reflect changes from the draft furnished via e-mail on January ___,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ab/>
        <w:t>We await advice from SEL that the documents described under item no. 1 above meet the requirements set forth in the CA-I Letter Agreement, the documents described under item no. 2 above meet the requirements set forth in the CA-II Letter Agreement, and the documents described under item no. 3 above meet the requirements set forth in the Transformer Letter Agreement.  Please advise at your earliest convenience.  Thank you.</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9" w:name="_DV_M116"/>
      <w:bookmarkEnd w:id="9"/>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0" w:name="_DV_M117"/>
      <w:bookmarkEnd w:id="10"/>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1" w:name="_DV_M118"/>
      <w:bookmarkEnd w:id="11"/>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 w:name="_DV_M119"/>
      <w:bookmarkEnd w:id="12"/>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 w:name="_DV_M120"/>
      <w:bookmarkEnd w:id="13"/>
      <w:r>
        <w:rPr>
          <w:color w:val="000000"/>
          <w:sz w:val="22"/>
        </w:rPr>
        <w:t xml:space="preserve">Receipt acknowledged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 w:name="_DV_M121"/>
      <w:bookmarkEnd w:id="14"/>
      <w:r>
        <w:rPr>
          <w:color w:val="000000"/>
          <w:sz w:val="22"/>
        </w:rPr>
        <w:t>_____ day of January,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5" w:name="_DV_M122"/>
      <w:bookmarkEnd w:id="15"/>
      <w:r>
        <w:rPr>
          <w:b/>
          <w:color w:val="000000"/>
          <w:sz w:val="22"/>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6" w:name="_DV_M123"/>
      <w:bookmarkEnd w:id="16"/>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7" w:name="_DV_M124"/>
      <w:bookmarkEnd w:id="17"/>
      <w:r>
        <w:rPr>
          <w:color w:val="000000"/>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8" w:name="_DV_M125"/>
      <w:bookmarkEnd w:id="18"/>
      <w:r>
        <w:rPr>
          <w:color w:val="000000"/>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Enclosures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cc:</w:t>
        <w:tab/>
        <w:t>Mr. George Kutzschbach (w/encl.)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ab/>
        <w:t>Fulbright &amp; Jaworski LLP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ab/>
        <w:t>1301 McKinney, Suite 5100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ab/>
        <w:t>Houston, Texas  77010</w:t>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4">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Houston-131359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Houston-131359 v1</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Houston-131359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Houston-131359 v1</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sz w:val="22"/>
      </w:rPr>
    </w:pPr>
    <w:r>
      <w:rPr>
        <w:sz w:val="22"/>
      </w:rPr>
      <w:t>Sweetgum Energy LP</w:t>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January 8,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2000-12-27T14:45:00Z</dcterms:created>
  <dc:creator>Carolyn Campbell</dc:creator>
  <dc:description>Houston-131359 v1</dc:description>
  <dc:language>en-CA</dc:language>
  <cp:lastModifiedBy>Carolyn Campbell</cp:lastModifiedBy>
  <cp:lastPrinted>2001-01-08T15:26:00Z</cp:lastPrinted>
  <dcterms:modified xsi:type="dcterms:W3CDTF">2001-01-08T18:56:00Z</dcterms:modified>
  <cp:revision>17</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