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widowControl/>
        <w:spacing w:before="0" w:after="0"/>
        <w:ind w:hanging="0" w:start="0"/>
        <w:jc w:val="center"/>
        <w:rPr>
          <w:rFonts w:ascii="Times New Roman" w:hAnsi="Times New Roman" w:cs="Times New Roman"/>
          <w:kern w:val="0"/>
          <w:sz w:val="22"/>
        </w:rPr>
      </w:pPr>
      <w:bookmarkStart w:id="0" w:name="_DV_M0"/>
      <w:bookmarkEnd w:id="0"/>
      <w:r>
        <w:rPr>
          <w:rFonts w:cs="Times New Roman" w:ascii="Times New Roman" w:hAnsi="Times New Roman"/>
          <w:b w:val="false"/>
          <w:kern w:val="0"/>
          <w:sz w:val="22"/>
        </w:rPr>
        <w:t>January 4, 2001</w:t>
      </w:r>
    </w:p>
    <w:p>
      <w:pPr>
        <w:pStyle w:val="Normal"/>
        <w:jc w:val="both"/>
        <w:rPr>
          <w:rFonts w:ascii="Times New Roman" w:hAnsi="Times New Roman" w:cs="Times New Roman"/>
          <w:kern w:val="0"/>
          <w:sz w:val="22"/>
        </w:rPr>
      </w:pPr>
      <w:r>
        <w:rPr>
          <w:rFonts w:cs="Times New Roman"/>
          <w:kern w:val="0"/>
          <w:sz w:val="22"/>
        </w:rPr>
      </w:r>
    </w:p>
    <w:p>
      <w:pPr>
        <w:pStyle w:val="Normal"/>
        <w:jc w:val="both"/>
        <w:rPr>
          <w:sz w:val="22"/>
        </w:rPr>
      </w:pPr>
      <w:bookmarkStart w:id="1" w:name="_DV_M1"/>
      <w:bookmarkEnd w:id="1"/>
      <w:r>
        <w:rPr>
          <w:sz w:val="22"/>
        </w:rPr>
        <w:t>Sweetgum Energy LP</w:t>
      </w:r>
    </w:p>
    <w:p>
      <w:pPr>
        <w:pStyle w:val="Normal"/>
        <w:jc w:val="both"/>
        <w:rPr>
          <w:sz w:val="22"/>
        </w:rPr>
      </w:pPr>
      <w:bookmarkStart w:id="2" w:name="_DV_M2"/>
      <w:bookmarkEnd w:id="2"/>
      <w:r>
        <w:rPr>
          <w:sz w:val="22"/>
        </w:rPr>
        <w:t>c/o InterGen North America LP</w:t>
      </w:r>
    </w:p>
    <w:p>
      <w:pPr>
        <w:pStyle w:val="Normal"/>
        <w:jc w:val="both"/>
        <w:rPr>
          <w:sz w:val="22"/>
        </w:rPr>
      </w:pPr>
      <w:bookmarkStart w:id="3" w:name="_DV_M3"/>
      <w:bookmarkEnd w:id="3"/>
      <w:r>
        <w:rPr>
          <w:sz w:val="22"/>
        </w:rPr>
        <w:t>909 Fannin, Suite 2200</w:t>
      </w:r>
    </w:p>
    <w:p>
      <w:pPr>
        <w:pStyle w:val="Normal"/>
        <w:jc w:val="both"/>
        <w:rPr>
          <w:b/>
          <w:sz w:val="22"/>
        </w:rPr>
      </w:pPr>
      <w:bookmarkStart w:id="4" w:name="_DV_M4"/>
      <w:bookmarkEnd w:id="4"/>
      <w:r>
        <w:rPr>
          <w:sz w:val="22"/>
        </w:rPr>
        <w:t>Houston, Texas 77010</w:t>
      </w:r>
    </w:p>
    <w:p>
      <w:pPr>
        <w:pStyle w:val="Normal"/>
        <w:jc w:val="both"/>
        <w:rPr>
          <w:b/>
          <w:sz w:val="22"/>
        </w:rPr>
      </w:pPr>
      <w:r>
        <w:rPr>
          <w:b/>
          <w:sz w:val="22"/>
        </w:rPr>
      </w:r>
    </w:p>
    <w:p>
      <w:pPr>
        <w:pStyle w:val="Normal"/>
        <w:jc w:val="both"/>
        <w:rPr>
          <w:sz w:val="22"/>
        </w:rPr>
      </w:pPr>
      <w:r>
        <w:rPr>
          <w:sz w:val="22"/>
        </w:rPr>
      </w:r>
    </w:p>
    <w:p>
      <w:pPr>
        <w:pStyle w:val="Normal"/>
        <w:ind w:firstLine="720" w:end="0"/>
        <w:jc w:val="both"/>
        <w:rPr>
          <w:sz w:val="22"/>
        </w:rPr>
      </w:pPr>
      <w:bookmarkStart w:id="5" w:name="_DV_M5"/>
      <w:bookmarkEnd w:id="5"/>
      <w:r>
        <w:rPr>
          <w:sz w:val="22"/>
        </w:rPr>
        <w:t>Re:  CA Energy Development II, LLC</w:t>
      </w:r>
      <w:bookmarkStart w:id="6" w:name="_DV_M6"/>
      <w:bookmarkEnd w:id="6"/>
    </w:p>
    <w:p>
      <w:pPr>
        <w:pStyle w:val="Normal"/>
        <w:ind w:start="1170" w:end="0"/>
        <w:jc w:val="both"/>
        <w:rPr>
          <w:sz w:val="22"/>
        </w:rPr>
      </w:pPr>
      <w:r>
        <w:rPr>
          <w:sz w:val="22"/>
        </w:rPr>
        <w:t>Amendment No. 1 to Letter Agreement for LM6000 Enhanced SPRINT Dual-fuel Combustion Turbine Generator Set</w:t>
      </w:r>
    </w:p>
    <w:p>
      <w:pPr>
        <w:pStyle w:val="Normal"/>
        <w:jc w:val="both"/>
        <w:rPr>
          <w:sz w:val="22"/>
        </w:rPr>
      </w:pPr>
      <w:r>
        <w:rPr>
          <w:sz w:val="22"/>
        </w:rPr>
      </w:r>
    </w:p>
    <w:p>
      <w:pPr>
        <w:pStyle w:val="Normal"/>
        <w:jc w:val="both"/>
        <w:rPr>
          <w:sz w:val="22"/>
        </w:rPr>
      </w:pPr>
      <w:bookmarkStart w:id="7" w:name="_DV_M7"/>
      <w:bookmarkEnd w:id="7"/>
      <w:r>
        <w:rPr>
          <w:sz w:val="22"/>
        </w:rPr>
        <w:t>Gentlemen:</w:t>
      </w:r>
    </w:p>
    <w:p>
      <w:pPr>
        <w:pStyle w:val="Normal"/>
        <w:jc w:val="both"/>
        <w:rPr>
          <w:sz w:val="22"/>
        </w:rPr>
      </w:pPr>
      <w:r>
        <w:rPr>
          <w:sz w:val="22"/>
        </w:rPr>
      </w:r>
    </w:p>
    <w:p>
      <w:pPr>
        <w:pStyle w:val="Normal"/>
        <w:jc w:val="both"/>
        <w:rPr/>
      </w:pPr>
      <w:bookmarkStart w:id="8" w:name="_DV_M8"/>
      <w:bookmarkEnd w:id="8"/>
      <w:r>
        <w:rPr>
          <w:sz w:val="22"/>
        </w:rPr>
        <w:tab/>
        <w:t>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having entered into a letter agreement dated December 27, 2000 (the “</w:t>
      </w:r>
      <w:r>
        <w:rPr>
          <w:sz w:val="22"/>
          <w:u w:val="single"/>
        </w:rPr>
        <w:t>Original Agreement</w:t>
      </w:r>
      <w:r>
        <w:rPr>
          <w:sz w:val="22"/>
        </w:rPr>
        <w:t>”) regarding the referenced limited liability company and equipment, desire to amend the Original Agreement as set forth herein (the “</w:t>
      </w:r>
      <w:r>
        <w:rPr>
          <w:sz w:val="22"/>
          <w:u w:val="single"/>
        </w:rPr>
        <w:t>Amendment</w:t>
      </w:r>
      <w:r>
        <w:rPr>
          <w:sz w:val="22"/>
        </w:rPr>
        <w:t>”).</w:t>
      </w:r>
    </w:p>
    <w:p>
      <w:pPr>
        <w:pStyle w:val="Normal"/>
        <w:jc w:val="both"/>
        <w:rPr>
          <w:sz w:val="22"/>
        </w:rPr>
      </w:pPr>
      <w:r>
        <w:rPr>
          <w:sz w:val="22"/>
        </w:rPr>
      </w:r>
    </w:p>
    <w:p>
      <w:pPr>
        <w:pStyle w:val="Normal"/>
        <w:jc w:val="both"/>
        <w:rPr/>
      </w:pPr>
      <w:r>
        <w:rPr>
          <w:sz w:val="22"/>
        </w:rPr>
        <w:tab/>
        <w:t>1.</w:t>
        <w:tab/>
      </w:r>
      <w:r>
        <w:rPr>
          <w:sz w:val="22"/>
          <w:u w:val="single"/>
        </w:rPr>
        <w:t>Amendment of Closing Date</w:t>
      </w:r>
      <w:r>
        <w:rPr>
          <w:sz w:val="22"/>
        </w:rPr>
        <w:t>.  The second sentence of Section 2 of the Original Agreement is hereby deleted in its entirety and the following shall be inserted in lieu thereof:</w:t>
      </w:r>
    </w:p>
    <w:p>
      <w:pPr>
        <w:pStyle w:val="Normal"/>
        <w:jc w:val="both"/>
        <w:rPr>
          <w:sz w:val="22"/>
        </w:rPr>
      </w:pPr>
      <w:r>
        <w:rPr>
          <w:sz w:val="22"/>
        </w:rPr>
      </w:r>
    </w:p>
    <w:p>
      <w:pPr>
        <w:pStyle w:val="Normal"/>
        <w:ind w:start="720" w:end="720"/>
        <w:jc w:val="both"/>
        <w:rPr>
          <w:sz w:val="22"/>
        </w:rPr>
      </w:pPr>
      <w:r>
        <w:rPr>
          <w:sz w:val="22"/>
        </w:rPr>
        <w:t>“</w:t>
      </w:r>
      <w:r>
        <w:rPr>
          <w:sz w:val="22"/>
        </w:rPr>
        <w:t>The Transaction shall close on or before (i) January 22, 2001, or (ii) such earlier date which is five (5) business days following the date on which SEL funds the escrow as provided in Section 3 of this Agreement.”</w:t>
      </w:r>
    </w:p>
    <w:p>
      <w:pPr>
        <w:pStyle w:val="Normal"/>
        <w:jc w:val="both"/>
        <w:rPr>
          <w:sz w:val="22"/>
        </w:rPr>
      </w:pPr>
      <w:r>
        <w:rPr>
          <w:sz w:val="22"/>
        </w:rPr>
      </w:r>
    </w:p>
    <w:p>
      <w:pPr>
        <w:pStyle w:val="Normal"/>
        <w:jc w:val="both"/>
        <w:rPr/>
      </w:pPr>
      <w:r>
        <w:rPr>
          <w:sz w:val="22"/>
        </w:rPr>
        <w:tab/>
        <w:t>2.</w:t>
        <w:tab/>
      </w:r>
      <w:r>
        <w:rPr>
          <w:sz w:val="22"/>
          <w:u w:val="single"/>
        </w:rPr>
        <w:t>Amendment of Termination Date</w:t>
      </w:r>
      <w:r>
        <w:rPr>
          <w:sz w:val="22"/>
        </w:rPr>
        <w:t>.  The last sentence of Section 5 of the Original Agreement is hereby deleted in its entirety and the following shall be inserted in lieu thereof:</w:t>
      </w:r>
    </w:p>
    <w:p>
      <w:pPr>
        <w:pStyle w:val="Normal"/>
        <w:jc w:val="both"/>
        <w:rPr>
          <w:sz w:val="22"/>
        </w:rPr>
      </w:pPr>
      <w:r>
        <w:rPr>
          <w:sz w:val="22"/>
        </w:rPr>
      </w:r>
    </w:p>
    <w:p>
      <w:pPr>
        <w:pStyle w:val="Normal"/>
        <w:ind w:start="720" w:end="720"/>
        <w:jc w:val="both"/>
        <w:rPr>
          <w:sz w:val="22"/>
        </w:rPr>
      </w:pPr>
      <w:r>
        <w:rPr>
          <w:color w:val="000000"/>
          <w:sz w:val="22"/>
        </w:rPr>
        <w:t>“</w:t>
      </w:r>
      <w:r>
        <w:rPr>
          <w:color w:val="000000"/>
          <w:sz w:val="22"/>
        </w:rPr>
        <w:t>Notwithstanding anything herein to the contrary, either Party shall have the right to terminate this Agreement, without prejudice to its rights or remedies at law or in equity, in the event that the closing of the Transaction shall not have occurred on or before January 22, 2001; provided however, that such right to terminate this Agreement shall not be available to any Party whose failure to fulfill any of its obligations hereunder or whose misrepresentation or breach of warranty hereunder is the principal cause of such failure to close; and provided further, that the confidentiality provisions of Section 6 of this Agreement shall survive such termination for a period of one year.”</w:t>
      </w:r>
    </w:p>
    <w:p>
      <w:pPr>
        <w:pStyle w:val="Normal"/>
        <w:jc w:val="both"/>
        <w:rPr>
          <w:sz w:val="22"/>
        </w:rPr>
      </w:pPr>
      <w:r>
        <w:rPr>
          <w:sz w:val="22"/>
        </w:rPr>
      </w:r>
    </w:p>
    <w:p>
      <w:pPr>
        <w:pStyle w:val="Normal"/>
        <w:jc w:val="both"/>
        <w:rPr/>
      </w:pPr>
      <w:r>
        <w:rPr>
          <w:sz w:val="22"/>
        </w:rPr>
        <w:tab/>
        <w:t>3.</w:t>
        <w:tab/>
      </w:r>
      <w:r>
        <w:rPr>
          <w:sz w:val="22"/>
          <w:u w:val="single"/>
        </w:rPr>
        <w:t>Supplemental Instrument</w:t>
      </w:r>
      <w:r>
        <w:rPr>
          <w:sz w:val="22"/>
        </w:rPr>
        <w:t>.  This instrument is executed and shall constitute an instrument supplemental to and in amendment of the Original Agreement and shall be construed with and as a part of the Original Agreement.</w:t>
      </w:r>
    </w:p>
    <w:p>
      <w:pPr>
        <w:pStyle w:val="Normal"/>
        <w:jc w:val="both"/>
        <w:rPr>
          <w:sz w:val="22"/>
        </w:rPr>
      </w:pPr>
      <w:r>
        <w:rPr>
          <w:sz w:val="22"/>
        </w:rPr>
      </w:r>
    </w:p>
    <w:p>
      <w:pPr>
        <w:pStyle w:val="Normal"/>
        <w:jc w:val="both"/>
        <w:rPr/>
      </w:pPr>
      <w:r>
        <w:rPr>
          <w:sz w:val="22"/>
        </w:rPr>
        <w:tab/>
        <w:t>4.</w:t>
        <w:tab/>
      </w:r>
      <w:r>
        <w:rPr>
          <w:sz w:val="22"/>
          <w:u w:val="single"/>
        </w:rPr>
        <w:t>Ratification of Original Agreement</w:t>
      </w:r>
      <w:r>
        <w:rPr>
          <w:sz w:val="22"/>
        </w:rPr>
        <w:t>.  Except as modified and expressly amended by this Amendment, the Original Agreement is in all respects ratified and confirmed, and all of the terms provisions and conditions thereof shall be and remain in full force and effect.</w:t>
      </w:r>
    </w:p>
    <w:p>
      <w:pPr>
        <w:pStyle w:val="Normal"/>
        <w:jc w:val="both"/>
        <w:rPr>
          <w:sz w:val="22"/>
        </w:rPr>
      </w:pPr>
      <w:r>
        <w:rPr>
          <w:sz w:val="22"/>
        </w:rPr>
      </w:r>
    </w:p>
    <w:p>
      <w:pPr>
        <w:pStyle w:val="Normal"/>
        <w:tabs>
          <w:tab w:val="clear" w:pos="720"/>
          <w:tab w:val="left" w:pos="0" w:leader="none"/>
        </w:tabs>
        <w:jc w:val="both"/>
        <w:rPr/>
      </w:pPr>
      <w:r>
        <w:rPr>
          <w:sz w:val="22"/>
        </w:rPr>
        <w:tab/>
        <w:t>5.</w:t>
        <w:tab/>
      </w:r>
      <w:r>
        <w:rPr>
          <w:sz w:val="22"/>
          <w:u w:val="single"/>
        </w:rPr>
        <w:t>Entire Agreement</w:t>
      </w:r>
      <w:r>
        <w:rPr>
          <w:sz w:val="22"/>
        </w:rPr>
        <w:t>.  This Amendment, together with the Original Agreement, constitutes the entire agreement and understanding between the Parties concerning the matters addressed by the Original Agreement, and supersedes any and all previous agreements or understandings, whether written or oral, between the Parties concerning same.  Neither this Amendment nor the Original Agreement may be amended orally.</w:t>
      </w:r>
    </w:p>
    <w:p>
      <w:pPr>
        <w:pStyle w:val="Normal"/>
        <w:tabs>
          <w:tab w:val="clear" w:pos="720"/>
          <w:tab w:val="left" w:pos="0" w:leader="none"/>
        </w:tabs>
        <w:jc w:val="both"/>
        <w:rPr>
          <w:sz w:val="22"/>
        </w:rPr>
      </w:pPr>
      <w:r>
        <w:rPr>
          <w:sz w:val="22"/>
        </w:rPr>
      </w:r>
    </w:p>
    <w:p>
      <w:pPr>
        <w:pStyle w:val="Normal"/>
        <w:tabs>
          <w:tab w:val="clear" w:pos="720"/>
          <w:tab w:val="left" w:pos="0" w:leader="none"/>
        </w:tabs>
        <w:jc w:val="both"/>
        <w:rPr/>
      </w:pPr>
      <w:r>
        <w:rPr>
          <w:sz w:val="22"/>
        </w:rPr>
        <w:tab/>
        <w:t>6.</w:t>
        <w:tab/>
      </w:r>
      <w:r>
        <w:rPr>
          <w:sz w:val="22"/>
          <w:u w:val="single"/>
        </w:rPr>
        <w:t>Applicable Law</w:t>
      </w:r>
      <w:r>
        <w:rPr>
          <w:sz w:val="22"/>
        </w:rPr>
        <w:t xml:space="preserve">.  This Amendment shall be governed by and construed in accordance with the internal laws of the State of Texas, without regard to its choice of law doctrines.  </w:t>
      </w:r>
    </w:p>
    <w:p>
      <w:pPr>
        <w:pStyle w:val="Normal"/>
        <w:tabs>
          <w:tab w:val="clear" w:pos="720"/>
          <w:tab w:val="left" w:pos="0" w:leader="none"/>
        </w:tabs>
        <w:jc w:val="both"/>
        <w:rPr>
          <w:sz w:val="22"/>
        </w:rPr>
      </w:pPr>
      <w:r>
        <w:rPr>
          <w:sz w:val="22"/>
        </w:rPr>
      </w:r>
    </w:p>
    <w:p>
      <w:pPr>
        <w:pStyle w:val="Normal"/>
        <w:tabs>
          <w:tab w:val="clear" w:pos="720"/>
          <w:tab w:val="left" w:pos="0" w:leader="none"/>
        </w:tabs>
        <w:jc w:val="both"/>
        <w:rPr/>
      </w:pPr>
      <w:r>
        <w:rPr>
          <w:sz w:val="22"/>
        </w:rPr>
        <w:tab/>
        <w:t>7.</w:t>
        <w:tab/>
      </w:r>
      <w:r>
        <w:rPr>
          <w:sz w:val="22"/>
          <w:u w:val="single"/>
        </w:rPr>
        <w:t>Interpretation</w:t>
      </w:r>
      <w:r>
        <w:rPr>
          <w:sz w:val="22"/>
        </w:rPr>
        <w:t>.  Any capitalized terms used herein which are defined in the Original Agreement shall have the meaning attributable to such terms in the Original Agreement unless otherwise defined herein.  Headings in this Amendment are for informational purposes only and shall not be used to construe the intent of this Amendment.</w:t>
      </w:r>
    </w:p>
    <w:p>
      <w:pPr>
        <w:pStyle w:val="Normal"/>
        <w:tabs>
          <w:tab w:val="clear" w:pos="720"/>
          <w:tab w:val="left" w:pos="0" w:leader="none"/>
        </w:tabs>
        <w:jc w:val="both"/>
        <w:rPr>
          <w:sz w:val="22"/>
        </w:rPr>
      </w:pPr>
      <w:r>
        <w:rPr>
          <w:sz w:val="22"/>
        </w:rPr>
      </w:r>
    </w:p>
    <w:p>
      <w:pPr>
        <w:pStyle w:val="Normal"/>
        <w:jc w:val="both"/>
        <w:rPr/>
      </w:pPr>
      <w:r>
        <w:rPr>
          <w:sz w:val="22"/>
        </w:rPr>
        <w:tab/>
        <w:t>8.</w:t>
        <w:tab/>
      </w:r>
      <w:r>
        <w:rPr>
          <w:sz w:val="22"/>
          <w:u w:val="single"/>
        </w:rPr>
        <w:t>Counterparts</w:t>
      </w:r>
      <w:r>
        <w:rPr>
          <w:sz w:val="22"/>
        </w:rPr>
        <w:t>.  This Amendment may be executed simultaneously in any number of counterparts, each of which shall be deemed an original but all of which together shall constitute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color w:val="000000"/>
          <w:sz w:val="22"/>
        </w:rPr>
      </w:pPr>
      <w:bookmarkStart w:id="9" w:name="_DV_M115"/>
      <w:bookmarkEnd w:id="9"/>
      <w:r>
        <w:rPr>
          <w:color w:val="000000"/>
          <w:sz w:val="22"/>
        </w:rPr>
        <w:t xml:space="preserve">If the foregoing provisions correctly set forth our binding agreement, please execute both originals of this Amendment in the space provided below.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0" w:name="_DV_M116"/>
      <w:bookmarkEnd w:id="10"/>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1" w:name="_DV_M117"/>
      <w:bookmarkEnd w:id="11"/>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2" w:name="_DV_M118"/>
      <w:bookmarkEnd w:id="12"/>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3" w:name="_DV_M119"/>
      <w:bookmarkEnd w:id="13"/>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4" w:name="_DV_M120"/>
      <w:bookmarkEnd w:id="14"/>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5" w:name="_DV_M121"/>
      <w:bookmarkEnd w:id="15"/>
      <w:r>
        <w:rPr>
          <w:color w:val="000000"/>
          <w:sz w:val="22"/>
        </w:rPr>
        <w:t>_____ day of January,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color w:val="000000"/>
          <w:sz w:val="22"/>
        </w:rPr>
      </w:pPr>
      <w:bookmarkStart w:id="16" w:name="_DV_M122"/>
      <w:bookmarkEnd w:id="16"/>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7" w:name="_DV_M123"/>
      <w:bookmarkEnd w:id="1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8" w:name="_DV_M124"/>
      <w:bookmarkEnd w:id="18"/>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bookmarkStart w:id="19" w:name="_DV_M125"/>
      <w:bookmarkEnd w:id="19"/>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p>
    <w:p>
      <w:pPr>
        <w:pStyle w:val="Normal"/>
        <w:rPr>
          <w:color w:val="000000"/>
          <w:sz w:val="22"/>
        </w:rPr>
      </w:pPr>
      <w:r>
        <w:rPr>
          <w:color w:val="000000"/>
          <w:sz w:val="22"/>
        </w:rPr>
      </w:r>
    </w:p>
    <w:sectPr>
      <w:headerReference w:type="default" r:id="rId2"/>
      <w:headerReference w:type="first" r:id="rId3"/>
      <w:footerReference w:type="default" r:id="rId4"/>
      <w:footerReference w:type="first" r:id="rId5"/>
      <w:type w:val="nextPage"/>
      <w:pgSz w:w="12240" w:h="15840"/>
      <w:pgMar w:left="1296" w:right="1296"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exact" w:line="240"/>
      <w:rPr/>
    </w:pPr>
    <w:r>
      <w:rPr/>
    </w:r>
  </w:p>
  <w:p>
    <w:pPr>
      <w:pStyle w:val="Normal"/>
      <w:spacing w:lineRule="exact" w:line="240"/>
      <w:rPr>
        <w:lang w:val="en-CA"/>
      </w:rPr>
    </w:pPr>
    <w:r>
      <w:rPr>
        <w:lang w:val="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2"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Houston-130977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Houston-130977 v1</w:t>
                    </w:r>
                    <w:r>
                      <w:rPr/>
                      <w:fldChar w:fldCharType="end"/>
                    </w:r>
                  </w:p>
                </w:txbxContent>
              </v:textbox>
              <w10:wrap type="none"/>
            </v:rect>
          </w:pict>
        </mc:Fallback>
      </mc:AlternateContent>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lang w:val="en-CA"/>
      </w:rPr>
    </w:pPr>
    <w:r>
      <w:rPr>
        <w:lang w:val="en-CA"/>
      </w:rPr>
    </w:r>
    <w:r>
      <mc:AlternateContent>
        <mc:Choice Requires="wps">
          <w:drawing>
            <wp:anchor behindDoc="1" distT="0" distB="0" distL="114935" distR="114935"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Houston-130977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Houston-130977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ind w:end="360"/>
      <w:rPr>
        <w:b/>
        <w:sz w:val="22"/>
      </w:rPr>
    </w:pPr>
    <w:r>
      <w:rPr>
        <w:sz w:val="22"/>
      </w:rPr>
      <w:t>Sweetgum Energy LP</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ind w:end="360"/>
      <w:rPr>
        <w:rStyle w:val="PageNumber"/>
        <w:sz w:val="20"/>
      </w:rPr>
    </w:pPr>
    <w:r>
      <w:rPr>
        <w:sz w:val="22"/>
      </w:rPr>
      <w:t>January 4, 2001</w:t>
    </w:r>
  </w:p>
  <w:p>
    <w:pPr>
      <w:pStyle w:val="Normal"/>
      <w:tabs>
        <w:tab w:val="clear" w:pos="720"/>
        <w:tab w:val="left" w:pos="0" w:leader="none"/>
        <w:tab w:val="center" w:pos="4320" w:leader="none"/>
        <w:tab w:val="left" w:pos="7200" w:leader="none"/>
        <w:tab w:val="right" w:pos="7740" w:leader="none"/>
        <w:tab w:val="right" w:pos="9648" w:leader="none"/>
      </w:tabs>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01/04/2001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2001-01-04T13:08:00Z</dcterms:created>
  <dc:creator>Carolyn Campbell</dc:creator>
  <dc:description>Houston-130977 v1</dc:description>
  <dc:language>en-CA</dc:language>
  <cp:lastModifiedBy>Carolyn Campbell</cp:lastModifiedBy>
  <cp:lastPrinted>2001-01-04T09:59:00Z</cp:lastPrinted>
  <dcterms:modified xsi:type="dcterms:W3CDTF">2001-01-04T13:29:00Z</dcterms:modified>
  <cp:revision>5</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