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January 3, 2001</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 LLC</w:t>
      </w:r>
      <w:bookmarkStart w:id="6" w:name="_DV_M6"/>
      <w:bookmarkEnd w:id="6"/>
    </w:p>
    <w:p>
      <w:pPr>
        <w:pStyle w:val="Normal"/>
        <w:ind w:start="1170" w:end="0"/>
        <w:jc w:val="both"/>
        <w:rPr>
          <w:sz w:val="22"/>
        </w:rPr>
      </w:pPr>
      <w:r>
        <w:rPr>
          <w:sz w:val="22"/>
        </w:rPr>
        <w:t>Amendment No. 1 to Letter Agreement for LM6000 Enhanced SPRINT Dual-fuel Combustion Turbine Generator Set</w:t>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jc w:val="both"/>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jc w:val="both"/>
        <w:rPr>
          <w:sz w:val="22"/>
        </w:rPr>
      </w:pPr>
      <w:r>
        <w:rPr>
          <w:sz w:val="22"/>
        </w:rPr>
      </w:r>
    </w:p>
    <w:p>
      <w:pPr>
        <w:pStyle w:val="Normal"/>
        <w:jc w:val="both"/>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sz w:val="22"/>
        </w:rPr>
        <w:t>“</w:t>
      </w:r>
      <w:r>
        <w:rPr>
          <w:sz w:val="22"/>
        </w:rPr>
        <w:t>The Transaction shall close on or before (i) January 15, 2001, or (i) such earlier date which is five (5) business days following the date on which SEL funds the escrow as provided in Section 3 of the Original Agreement.”</w:t>
      </w:r>
    </w:p>
    <w:p>
      <w:pPr>
        <w:pStyle w:val="Normal"/>
        <w:jc w:val="both"/>
        <w:rPr>
          <w:sz w:val="22"/>
        </w:rPr>
      </w:pPr>
      <w:r>
        <w:rPr>
          <w:sz w:val="22"/>
        </w:rPr>
      </w:r>
    </w:p>
    <w:p>
      <w:pPr>
        <w:pStyle w:val="Normal"/>
        <w:jc w:val="both"/>
        <w:rPr/>
      </w:pPr>
      <w:r>
        <w:rPr>
          <w:sz w:val="22"/>
        </w:rPr>
        <w:tab/>
        <w:t>2.</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jc w:val="both"/>
        <w:rPr>
          <w:sz w:val="22"/>
        </w:rPr>
      </w:pPr>
      <w:r>
        <w:rPr>
          <w:sz w:val="22"/>
        </w:rPr>
      </w:r>
    </w:p>
    <w:p>
      <w:pPr>
        <w:pStyle w:val="Normal"/>
        <w:jc w:val="both"/>
        <w:rPr/>
      </w:pPr>
      <w:r>
        <w:rPr>
          <w:sz w:val="22"/>
        </w:rPr>
        <w:tab/>
        <w:t>3.</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p>
    <w:p>
      <w:pPr>
        <w:pStyle w:val="Normal"/>
        <w:jc w:val="both"/>
        <w:rPr>
          <w:sz w:val="22"/>
        </w:rPr>
      </w:pPr>
      <w:r>
        <w:rPr>
          <w:sz w:val="22"/>
        </w:rPr>
      </w:r>
    </w:p>
    <w:p>
      <w:pPr>
        <w:pStyle w:val="Normal"/>
        <w:tabs>
          <w:tab w:val="clear" w:pos="720"/>
          <w:tab w:val="left" w:pos="0" w:leader="none"/>
        </w:tabs>
        <w:jc w:val="both"/>
        <w:rPr/>
      </w:pPr>
      <w:r>
        <w:rPr>
          <w:sz w:val="22"/>
        </w:rPr>
        <w:tab/>
        <w:t>4.</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5.</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6.</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jc w:val="both"/>
        <w:rPr>
          <w:sz w:val="22"/>
        </w:rPr>
      </w:pPr>
      <w:r>
        <w:rPr>
          <w:sz w:val="22"/>
        </w:rPr>
      </w:r>
    </w:p>
    <w:p>
      <w:pPr>
        <w:pStyle w:val="Normal"/>
        <w:jc w:val="both"/>
        <w:rPr/>
      </w:pPr>
      <w:r>
        <w:rPr>
          <w:sz w:val="22"/>
        </w:rPr>
        <w:tab/>
        <w:t>7.</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4"/>
      <w:bookmarkEnd w:id="18"/>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9" w:name="_DV_M125"/>
      <w:bookmarkEnd w:id="19"/>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Houston-130796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Houston-130796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Houston-130796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Houston-130796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3,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01/02/2001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2000-12-27T14:45:00Z</dcterms:created>
  <dc:creator>Carolyn Campbell</dc:creator>
  <dc:description>Houston-130796 v1</dc:description>
  <dc:language>en-CA</dc:language>
  <cp:lastModifiedBy>Carolyn Campbell</cp:lastModifiedBy>
  <cp:lastPrinted>2001-01-02T17:23:00Z</cp:lastPrinted>
  <dcterms:modified xsi:type="dcterms:W3CDTF">2001-01-02T20:54:00Z</dcterms:modified>
  <cp:revision>14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