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2"/>
        </w:rPr>
      </w:pPr>
      <w:r>
        <w:rPr>
          <w:sz w:val="22"/>
        </w:rPr>
        <w:t>December 27, 2000</w:t>
      </w:r>
    </w:p>
    <w:p>
      <w:pPr>
        <w:pStyle w:val="Normal"/>
        <w:jc w:val="both"/>
        <w:rPr>
          <w:b/>
          <w:sz w:val="22"/>
        </w:rPr>
      </w:pPr>
      <w:r>
        <w:rPr>
          <w:b/>
          <w:sz w:val="22"/>
        </w:rPr>
      </w:r>
    </w:p>
    <w:p>
      <w:pPr>
        <w:pStyle w:val="Normal"/>
        <w:jc w:val="both"/>
        <w:rPr>
          <w:sz w:val="22"/>
        </w:rPr>
      </w:pPr>
      <w:r>
        <w:rPr>
          <w:sz w:val="22"/>
        </w:rPr>
        <w:t>Sweetgum Energy LP</w:t>
      </w:r>
    </w:p>
    <w:p>
      <w:pPr>
        <w:pStyle w:val="Normal"/>
        <w:jc w:val="both"/>
        <w:rPr>
          <w:sz w:val="22"/>
        </w:rPr>
      </w:pPr>
      <w:r>
        <w:rPr>
          <w:sz w:val="22"/>
        </w:rPr>
        <w:t>c/o InterGen North America LP</w:t>
      </w:r>
    </w:p>
    <w:p>
      <w:pPr>
        <w:pStyle w:val="Normal"/>
        <w:jc w:val="both"/>
        <w:rPr>
          <w:sz w:val="22"/>
        </w:rPr>
      </w:pPr>
      <w:r>
        <w:rPr>
          <w:sz w:val="22"/>
        </w:rPr>
        <w:t>909 Fannin, Suite 2200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CA Energy Development II, LLC</w:t>
      </w:r>
    </w:p>
    <w:p>
      <w:pPr>
        <w:pStyle w:val="Normal"/>
        <w:ind w:firstLine="720" w:end="0"/>
        <w:jc w:val="both"/>
        <w:rPr>
          <w:sz w:val="22"/>
        </w:rPr>
      </w:pPr>
      <w:r>
        <w:rPr>
          <w:sz w:val="22"/>
        </w:rPr>
        <w:t xml:space="preserve">        </w:t>
      </w:r>
      <w:r>
        <w:rPr>
          <w:sz w:val="22"/>
        </w:rPr>
        <w:t>Letter Agreement for Generator Step-up Transformer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t xml:space="preserve">Generator Step-up Transformer.  </w:t>
      </w:r>
      <w:r>
        <w:rPr>
          <w:sz w:val="22"/>
        </w:rPr>
        <w:t>Each of ENA and SEL is interested in acquiring, owning, operating, administering, maintaining, modifying, financing, disposing of and otherwise dealing with one (1) generator step-up (13.8kV x 115kV/230kV) transformer identified as LNL-9517-4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(i) January 15, 2001, or (ii) such earlier date after January 1, 2001 which is the second business day following the date on which SEL advises ENA in writing as set forth in Section 3 hereof.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 Hundred Six Thousand Four Hundred and No/100 Dollars ($606,400.00)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in the form contemplated by Section 22.2 of that certain agreement dated July 14, 2000 (the “</w:t>
      </w:r>
      <w:r>
        <w:rPr>
          <w:sz w:val="22"/>
          <w:u w:val="single"/>
        </w:rPr>
        <w:t>Master Agreement</w:t>
      </w:r>
      <w:r>
        <w:rPr>
          <w:sz w:val="22"/>
        </w:rPr>
        <w:t xml:space="preserve">”) between Westdeutsche Landesbank Girozentrale, New York Branch, as purchaser, acting through its agent, ENA, and ABB, as seller, to which the Subject Unit was previously subject, as may be acceptable to SEL in its sole discretion.  </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 xml:space="preserve">Simultaneously with the delivery of the Facility Agreement, SEL shall extend a loan to the LLC in the amount of the Purchase Price, in consideration for the execution and delivery by the LLC of a promissory note payable to the order of SEL in the principal amount of the Purchase Price.  </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 xml:space="preserve">Immediately upon the LLC’s receipt of loan proceeds from SEL, each of ENA and SEL shall cause the LLC to repay in its entirety the demand promissory note previously issued by the LLC to ENA.  </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SEL shall have received a written acknowledgement and confirmation from ABB in the form attached hereto as </w:t>
      </w:r>
      <w:r>
        <w:rPr>
          <w:sz w:val="22"/>
          <w:u w:val="single"/>
        </w:rPr>
        <w:t>Exhibit A</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The closing shall have occurred under that certain letter agreement of even date herewith between ENA and SEL relating to the acquisition by SEL of a membership interest in the LLC.</w:t>
      </w:r>
    </w:p>
    <w:p>
      <w:pPr>
        <w:pStyle w:val="Normal"/>
        <w:ind w:firstLine="720" w:end="0"/>
        <w:jc w:val="both"/>
        <w:rPr>
          <w:sz w:val="22"/>
        </w:rPr>
      </w:pPr>
      <w:r>
        <w:rPr>
          <w:sz w:val="22"/>
        </w:rPr>
      </w:r>
    </w:p>
    <w:p>
      <w:pPr>
        <w:pStyle w:val="Normal"/>
        <w:ind w:firstLine="720" w:end="0"/>
        <w:jc w:val="both"/>
        <w:rPr/>
      </w:pPr>
      <w:r>
        <w:rPr>
          <w:b/>
          <w:sz w:val="22"/>
        </w:rPr>
        <w:t>3.</w:t>
        <w:tab/>
        <w:t xml:space="preserve">Pre-Closing Covenants and Agreements  </w:t>
      </w:r>
      <w:r>
        <w:rPr>
          <w:sz w:val="22"/>
        </w:rPr>
        <w:t xml:space="preserve">SEL agrees to advise ENA in writing, promptly following ENA’s delivery to SEL of the final execution form of the Facility Agreement, whether the proposed Facility Agreement is, in all material respects, acceptable to SEL in its sole discretion.  </w:t>
      </w:r>
      <w:r>
        <w:rPr>
          <w:color w:val="000000"/>
          <w:sz w:val="22"/>
        </w:rPr>
        <w:t xml:space="preserve">In the event that SEL advises ENA in writing that the proposed Facility Agreement is, in the sole discretion of SEL, acceptable to SEL, then (i) contemporaneously with such written advice (or on the next business day if such written advice is delivered after 1:00 p.m. New York time), or (ii) on or before January 2, 2001, whichever occurs later, SEL shall deposit into escrow with Citibank, N.A., as escrow agent, an amount equal to the Purchase Price, pursuant to an Escrow Agreement among ENA, SEL and the escrow agent in substantially the same form as that attached hereto as </w:t>
      </w:r>
      <w:r>
        <w:rPr>
          <w:color w:val="000000"/>
          <w:sz w:val="22"/>
          <w:u w:val="single"/>
        </w:rPr>
        <w:t>Exhibit C</w:t>
      </w:r>
      <w:r>
        <w:rPr>
          <w:color w:val="000000"/>
          <w:sz w:val="22"/>
        </w:rPr>
        <w:t>.  The escrowed funds shall be applied toward the loan being funded by SEL upon the closing of the Transaction pursuant to Section 2(b), and the balance of the escrowed funds, including any interest earned thereon, shall be refunded to SEL.  In the event that this Agreement is terminated for any reason prior to closing, the escrowed funds, plus interest earned thereon, shall be refunded to SEL, without prejudice to the right of either party to pursue any rights or remedies available at law or in equity.  ENA and SEL agree to promptly give the escrow agent instructions in accordance with this Section 3 and the Escrow Agreement.  All fees, taxes and expenses payable to the escrow agent under the Escrow Agreement shall be borne and paid by ENA.</w:t>
      </w:r>
    </w:p>
    <w:p>
      <w:pPr>
        <w:pStyle w:val="Normal"/>
        <w:ind w:firstLine="720" w:end="0"/>
        <w:jc w:val="both"/>
        <w:rPr>
          <w:color w:val="000000"/>
          <w:sz w:val="22"/>
        </w:rPr>
      </w:pPr>
      <w:r>
        <w:rPr>
          <w:color w:val="000000"/>
          <w:sz w:val="22"/>
        </w:rPr>
      </w:r>
    </w:p>
    <w:p>
      <w:pPr>
        <w:pStyle w:val="Normal"/>
        <w:ind w:firstLine="720" w:end="0"/>
        <w:jc w:val="both"/>
        <w:rPr/>
      </w:pPr>
      <w:r>
        <w:rPr>
          <w:b/>
          <w:sz w:val="22"/>
        </w:rPr>
        <w:t>4.</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ENA agrees to be responsible for, to promptly pay, and to hold SEL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 any and all sales, transfer, use and other taxes which might arise on or after closing of the Transaction resulting from the sale, transfer, assignment or ownership of the Subject Unit to or by the LLC</w:t>
      </w:r>
      <w:r>
        <w:rPr>
          <w:color w:val="000000"/>
          <w:sz w:val="22"/>
        </w:rPr>
        <w:t>; provided, however, (1) each Party will bear and be responsible for its own income and franchise taxes, and (2)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w:t>
      </w:r>
      <w:r>
        <w:rPr>
          <w:sz w:val="22"/>
        </w:rPr>
        <w:t>, and (B) an amount equal to $78,600.00, constituting the portion of the Purchase Amount representing the Retained Amount.  Without limiting ENA’s obligations under this Section, the LLC has requested that ABB invoice the LLC directly for the balance of the purchase price payable for the Subject Unit under the Facility Agreement, however, if ENA is invoiced directly by ABB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SEL agrees to be responsible for, and to hold ENA and the LLC harmless from and against, payment of (i) any and all amounts which become due and payable to ABB or its successors and assigns pursuant to the terms of the Facility Agreement, specifically including an amount equal to $78,600.00, constituting the portion of the Purchase Amount representing the Retained Amount, but excluding any amounts for which ENA is responsible pursuant to Section 4(a) hereof, and (ii) any and all sales, transfer, use and other taxes which might arise on or after closing of the Transaction resulting from the sale, transfer, assignment or ownership of the Subject Unit to or by the LLC</w:t>
      </w:r>
      <w:r>
        <w:rPr>
          <w:color w:val="000000"/>
          <w:sz w:val="22"/>
        </w:rPr>
        <w:t>; provided, however, (A) each Party will bear and be responsible for its own income and franchise taxes, (B) all ad valorem, property and similar taxes assessed against the Subject Unit for the 2001 calendar year shall be prorated, with ENA economically responsible for such taxes for the portion of such tax year prior to the closing of the Transaction and SEL economically responsible for such taxes for the portion of such tax year from and after the closing of the Transaction, and (C) if ENA is invoiced directly by ABB or another vendor in connection with the Transaction, then ENA agrees that it will issue a resale exemption certificate, direct pay permit or any other certificate, permit or documentation allowed under the law that applies under such circumstances to prevent the sales, transfer, use or similar taxes from being charged to ENA on such invoices</w:t>
      </w:r>
      <w:r>
        <w:rPr>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tab/>
      </w:r>
      <w:r>
        <w:rPr>
          <w:sz w:val="22"/>
        </w:rPr>
        <w:t>ENA shall provide SEL such development and technical assistance regarding the Subject Unit as SEL reasonably requests; provided, however, that (i) SEL shall have no recourse to ENA to the extent that ENA declines to provide such assistance in its sole and absolute discretion, (ii) should ENA choose to provide such assistance, it shall do so without any warranty whatsoever and SEL shall have no recourse to ENA with respect to such assistance, except for ENA’s gross negligence or willful misconduct, and (iii) SEL shall promptly pay ENA for any internal or third party costs it incurs or may incur with respect to any such assistance.</w:t>
      </w:r>
      <w:r>
        <w:rPr>
          <w:b/>
          <w:sz w:val="22"/>
        </w:rPr>
        <w:t xml:space="preserve">  </w:t>
      </w:r>
    </w:p>
    <w:p>
      <w:pPr>
        <w:pStyle w:val="Normal"/>
        <w:ind w:firstLine="720" w:end="0"/>
        <w:jc w:val="both"/>
        <w:rPr>
          <w:b/>
          <w:sz w:val="22"/>
        </w:rPr>
      </w:pPr>
      <w:r>
        <w:rPr>
          <w:b/>
          <w:sz w:val="22"/>
        </w:rPr>
      </w:r>
    </w:p>
    <w:p>
      <w:pPr>
        <w:pStyle w:val="Normal"/>
        <w:ind w:firstLine="720" w:end="0"/>
        <w:jc w:val="both"/>
        <w:rPr/>
      </w:pPr>
      <w:r>
        <w:rPr>
          <w:b/>
          <w:sz w:val="22"/>
        </w:rPr>
        <w:tab/>
        <w:t>(d)</w:t>
        <w:tab/>
      </w:r>
      <w:r>
        <w:rPr>
          <w:sz w:val="22"/>
        </w:rPr>
        <w:t>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SEL copies of all correspondence which it receives from any entity, including without limitation ABB, in connection with the Subject Unit or the Facility Agreement.</w:t>
      </w:r>
    </w:p>
    <w:p>
      <w:pPr>
        <w:pStyle w:val="Normal"/>
        <w:ind w:firstLine="720" w:end="0"/>
        <w:jc w:val="both"/>
        <w:rPr>
          <w:sz w:val="22"/>
        </w:rPr>
      </w:pPr>
      <w:r>
        <w:rPr>
          <w:sz w:val="22"/>
        </w:rPr>
      </w:r>
    </w:p>
    <w:p>
      <w:pPr>
        <w:pStyle w:val="Normal"/>
        <w:ind w:firstLine="720" w:end="0"/>
        <w:jc w:val="both"/>
        <w:rPr/>
      </w:pPr>
      <w:r>
        <w:rPr>
          <w:sz w:val="22"/>
        </w:rPr>
        <w:tab/>
      </w:r>
      <w:r>
        <w:rPr>
          <w:b/>
          <w:sz w:val="22"/>
        </w:rPr>
        <w:t>(e)</w:t>
      </w:r>
      <w:r>
        <w:rPr>
          <w:sz w:val="22"/>
        </w:rPr>
        <w:tab/>
        <w:t xml:space="preserve">Within 10 days after the closing of the Transaction, ENA shall deliver to the LLC all plans, drawings, diagrams and other documents with respect to the Subject Unit which are referenced in Exhibit B-2 to the Master Agreement to which the Subject Unit was previously subject, and any other plans, drawings, diagrams and other documents furnished by ABB to ENA prior to the closing with respect to the Subject Unit. </w:t>
      </w:r>
    </w:p>
    <w:p>
      <w:pPr>
        <w:pStyle w:val="Normal"/>
        <w:ind w:firstLine="720" w:end="0"/>
        <w:jc w:val="both"/>
        <w:rPr>
          <w:sz w:val="22"/>
        </w:rPr>
      </w:pPr>
      <w:r>
        <w:rPr>
          <w:sz w:val="22"/>
        </w:rPr>
      </w:r>
    </w:p>
    <w:p>
      <w:pPr>
        <w:pStyle w:val="Normal"/>
        <w:ind w:firstLine="720" w:end="0"/>
        <w:jc w:val="both"/>
        <w:rPr/>
      </w:pPr>
      <w:r>
        <w:rPr>
          <w:sz w:val="22"/>
        </w:rPr>
        <w:tab/>
      </w:r>
      <w:r>
        <w:rPr>
          <w:b/>
          <w:sz w:val="22"/>
        </w:rPr>
        <w:t>(f)</w:t>
      </w:r>
      <w:r>
        <w:rPr>
          <w:sz w:val="22"/>
        </w:rPr>
        <w:tab/>
        <w:t>Each Party covenants and agrees to use all reasonable efforts to satisfy the conditions precedent set forth in Sections 2 and 3 hereof; provided, however, the foregoing shall not prevent or limit SEL’s exercise of its discretion under Section 3 hereof.</w:t>
      </w:r>
    </w:p>
    <w:p>
      <w:pPr>
        <w:pStyle w:val="Normal"/>
        <w:ind w:firstLine="720" w:end="0"/>
        <w:jc w:val="both"/>
        <w:rPr>
          <w:sz w:val="22"/>
        </w:rPr>
      </w:pPr>
      <w:r>
        <w:rPr>
          <w:sz w:val="22"/>
        </w:rPr>
      </w:r>
    </w:p>
    <w:p>
      <w:pPr>
        <w:pStyle w:val="Normal"/>
        <w:ind w:firstLine="720" w:end="0"/>
        <w:jc w:val="both"/>
        <w:rPr/>
      </w:pPr>
      <w:r>
        <w:rPr>
          <w:color w:val="000000"/>
          <w:sz w:val="22"/>
        </w:rPr>
        <w:tab/>
      </w:r>
      <w:r>
        <w:rPr>
          <w:b/>
          <w:color w:val="000000"/>
          <w:sz w:val="22"/>
        </w:rPr>
        <w:t>(g)</w:t>
      </w:r>
      <w:r>
        <w:rPr>
          <w:color w:val="000000"/>
          <w:sz w:val="22"/>
        </w:rPr>
        <w:tab/>
        <w:t>At all times prior to Commercial Operation of the Subject Unit, SEL shall obtain and maintain for the benefit of the LLC commercial general liability insurance written on an occurrence basis, with coverage of the same breadth as that maintained by InterGen North America LP (“</w:t>
      </w:r>
      <w:r>
        <w:rPr>
          <w:color w:val="000000"/>
          <w:sz w:val="22"/>
          <w:u w:val="single"/>
        </w:rPr>
        <w:t>InterGen</w:t>
      </w:r>
      <w:r>
        <w:rPr>
          <w:color w:val="000000"/>
          <w:sz w:val="22"/>
        </w:rPr>
        <w:t xml:space="preserve">”) for its operations of size and character similar to that of SEL, with limits of liability not less than $10,000,000 per occurrence and $20,000,000 in the aggregate.  Such insurance shall name ENA as an additional insured and be endorsed to provide for a waiver of all rights of subrogation against ENA.  Such insurance shall be primary in respect to any other insurance maintained by ENA.  SEL shall be responsible for all premiums, and any co-insurance penalties, exclusions, sublimits, deductibles, or retentions.  Upon request by ENA, SEL shall procure from the insurer certificates of insurance in form and substance reasonably satisfactory to ENA confirming that said insurance is in full force and effect and that the same shall not be cancelled or materially changed without thirty days prior written notice to ENA. </w:t>
      </w:r>
    </w:p>
    <w:p>
      <w:pPr>
        <w:pStyle w:val="Normal"/>
        <w:ind w:firstLine="720" w:end="0"/>
        <w:jc w:val="both"/>
        <w:rPr>
          <w:color w:val="000000"/>
          <w:sz w:val="22"/>
        </w:rPr>
      </w:pPr>
      <w:r>
        <w:rPr>
          <w:color w:val="000000"/>
          <w:sz w:val="22"/>
        </w:rPr>
      </w:r>
    </w:p>
    <w:p>
      <w:pPr>
        <w:pStyle w:val="Normal"/>
        <w:ind w:firstLine="720" w:end="0"/>
        <w:jc w:val="both"/>
        <w:rPr/>
      </w:pPr>
      <w:r>
        <w:rPr>
          <w:b/>
          <w:sz w:val="22"/>
        </w:rPr>
        <w:t>5.</w:t>
        <w:tab/>
        <w:t xml:space="preserve">Term.  </w:t>
      </w:r>
      <w:r>
        <w:rPr>
          <w:color w:val="000000"/>
          <w:sz w:val="22"/>
        </w:rPr>
        <w:t>All representations, warranties, indemnities, covenants and agreements of the Parties shall survive the closing of the Transaction until the later of (a) December 31, 2004, or (b) the 60</w:t>
      </w:r>
      <w:r>
        <w:rPr>
          <w:color w:val="000000"/>
          <w:sz w:val="22"/>
          <w:vertAlign w:val="superscript"/>
        </w:rPr>
        <w:t>th</w:t>
      </w:r>
      <w:r>
        <w:rPr>
          <w:color w:val="000000"/>
          <w:sz w:val="22"/>
        </w:rPr>
        <w:t xml:space="preserve"> day following the date on which the Subject Unit achieves Commercial Operation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Notwithstanding anything herein to the contrary, ENA shall have the right to terminate this Agreement in the event that (i) SEL fails to deliver to ENA, on or before December 29, 2000, (A) a Guaranty Agreement executed by InterGen in the form attached hereto as </w:t>
      </w:r>
      <w:r>
        <w:rPr>
          <w:color w:val="000000"/>
          <w:sz w:val="22"/>
          <w:u w:val="single"/>
        </w:rPr>
        <w:t>Exhibit C</w:t>
      </w:r>
      <w:r>
        <w:rPr>
          <w:color w:val="000000"/>
          <w:sz w:val="22"/>
        </w:rPr>
        <w:t xml:space="preserve">, pursuant to which InterGen guarantees payment of the obligations of SEL pursuant to this Agreement, and (B) a Tax Guaranty Agreement executed by InterGen in substantially the form attached hereto as </w:t>
      </w:r>
      <w:r>
        <w:rPr>
          <w:color w:val="000000"/>
          <w:sz w:val="22"/>
          <w:u w:val="single"/>
        </w:rPr>
        <w:t>Exhibit D</w:t>
      </w:r>
      <w:r>
        <w:rPr>
          <w:color w:val="000000"/>
          <w:sz w:val="22"/>
        </w:rPr>
        <w:t>, but with a maximum aggregate liability of $500,000 and the term of which shall extend through January 31, 2002, pursuant to which InterGen guarantees payment of SEL’s obligations with respect to ad valorem, property and similar taxes assessed against the Subject Unit and related equipment for the 2001 calendar year pursuant to this Agreement and two contemporaneous letter agreements, or (ii) SEL fails to timely advise ENA regarding the Facility Agreement or fund the escrow as required by Section 3; provided however, that the confidentiality provisions of Section 6 of this Agreement shall survive such termination for a period of one year.</w:t>
      </w:r>
      <w:r>
        <w:rPr>
          <w:sz w:val="22"/>
        </w:rPr>
        <w:t xml:space="preserve">  Furthermore, </w:t>
      </w:r>
      <w:r>
        <w:rPr>
          <w:color w:val="000000"/>
          <w:sz w:val="22"/>
        </w:rPr>
        <w:t xml:space="preserve">either Party shall have the right to terminate this Agreement, without prejudice to its rights or remedies at law or in equity, in the event that the closing of the Transaction shall not have occurred on or before January 15,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  Notwithstanding anything herein to the contrary, </w:t>
      </w:r>
      <w:r>
        <w:rPr>
          <w:sz w:val="22"/>
        </w:rPr>
        <w:t>in the event that the Facility Agreement is not delivered on or before January 15, 2001, this Agreement shall terminate and be of no further force and effect, and neither party shall have liability to the other as a result thereof</w:t>
      </w:r>
      <w:r>
        <w:rPr>
          <w:color w:val="000000"/>
          <w:sz w:val="22"/>
        </w:rPr>
        <w:t>; provided however, that the confidentiality provisions of Section 6 of this Agreement shall survive such termination for a period of one year</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6.</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7.</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SEL represents and warrants that it is a limited partnership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tab/>
      </w:r>
      <w:r>
        <w:rPr>
          <w:sz w:val="22"/>
        </w:rPr>
        <w:t>The Facility Agreement, when executed and delivered by the parties thereto and at the closing of the Transaction,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b/>
          <w:sz w:val="22"/>
        </w:rPr>
        <w:t>(ii)</w:t>
      </w:r>
      <w:r>
        <w:rPr>
          <w:sz w:val="22"/>
        </w:rPr>
        <w:tab/>
        <w:t>As of the date of closing, the Facility Agreement will be in all material respects in the same form as the agreement (including all exhibits and schedules thereto) approved in writing by SEL in its sole discretion pursuant to Section 3, and will not have been amended, revised, assigned, transferred, conveyed or otherwise modified and no change orders with respect thereto will have been agreed to or issued,</w:t>
      </w:r>
      <w:r>
        <w:rPr>
          <w:color w:val="000000"/>
          <w:sz w:val="22"/>
        </w:rPr>
        <w:t xml:space="preserve"> and from the execution of the Facility Agreement through the closing of the Transaction, neither ENA nor the LLC will have agreed to 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To the best of ENA’s knowledge, neither the LLC nor ABB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(viii)</w:t>
      </w:r>
      <w:r>
        <w:rPr>
          <w:sz w:val="22"/>
        </w:rPr>
        <w:tab/>
        <w:t>Neither SEL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(ix)</w:t>
      </w:r>
      <w:r>
        <w:rPr>
          <w:sz w:val="22"/>
        </w:rPr>
        <w:tab/>
        <w:t>ENA has not received from ABB any notice of delay or any request to extend any date of delivery or other performance by ABB under the Facility Agreement.  ENA has furnished SEL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(x)</w:t>
      </w:r>
      <w:r>
        <w:rPr>
          <w:sz w:val="22"/>
        </w:rPr>
        <w:tab/>
        <w:t>The Purchase Amount as the same existed prior to the closing of the Transaction (less the Retained Amount referred to in Sections 4(a) and 4(b))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(e)</w:t>
      </w:r>
      <w:r>
        <w:rPr>
          <w:sz w:val="22"/>
        </w:rPr>
        <w:tab/>
        <w:t>SEL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w:t>
      </w:r>
      <w:r>
        <w:rPr>
          <w:sz w:val="22"/>
        </w:rPr>
        <w:tab/>
        <w:t>Neither the execution, delivery nor performance of this Agreement or the Transaction by SEL will violate any provision of the limited partnership agreement or other governing documents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SEL,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(iii)</w:t>
      </w:r>
      <w:r>
        <w:rPr>
          <w:sz w:val="22"/>
        </w:rPr>
        <w:tab/>
        <w:t>There is no Action pending, or to the knowledge of SEL threatened, against SEL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sz w:val="22"/>
        </w:rPr>
        <w:t>(iv)</w:t>
      </w:r>
      <w:r>
        <w:rPr>
          <w:sz w:val="22"/>
        </w:rPr>
        <w:tab/>
        <w:t>ENA shall not directly or indirectly have any responsibility, liability or expense, as a result of undertakings or agreements of SEL or any affiliate of SEL,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11.</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12.</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SEL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14.</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Indemnification By SEL.  FROM AND AFTER THE CLOSING OF THE TRANSACTION, SEL SHALL INDEMNIFY AND HOLD HARMLESS ENA, ITS DIRECTORS, OFFICERS, EMPLOYEES AND AGENTS, AND THE HEIRS, EXECUTORS, SUCCESSORS AND ASSIGNS OF ANY OF THE FOREGOING (COLLECTIVELY HEREIN REFERRED TO AS THE “</w:t>
      </w:r>
      <w:r>
        <w:rPr>
          <w:sz w:val="22"/>
          <w:u w:val="single"/>
        </w:rPr>
        <w:t>ENA INDEMNIFIED PARTIES</w:t>
      </w:r>
      <w:r>
        <w:rPr>
          <w:sz w:val="22"/>
        </w:rPr>
        <w:t xml:space="preserve">”) FROM AND AGAINST ANY AND ALL COVERED LIABILITIES RESULTING FROM ANY MISREPRESENTATION, BREACH OF WARRANTY OR NONFULFILLMENT OF ANY COVENANT OR AGREEMENT ON THE PART OF SEL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Indemnification By ENA.  FROM AND AFTER THE CLOSING OF THE TRANSACTION, ENA SHALL INDEMNIFY AND HOLD HARMLESS SEL, ITS DIRECTORS, OFFICERS, EMPLOYEES, AND AGENTS, AND EACH OF THE HEIRS, EXECUTORS, SUCCESSORS, AND ASSIGNS OF ANY OF THE FOREGOING (COLLECTIVELY HEREIN REFERRED TO AS THE “</w:t>
      </w:r>
      <w:r>
        <w:rPr>
          <w:sz w:val="22"/>
          <w:u w:val="single"/>
        </w:rPr>
        <w:t>SEL INDEMNIFIED PARTIES</w:t>
      </w:r>
      <w:r>
        <w:rPr>
          <w:sz w:val="22"/>
        </w:rPr>
        <w:t xml:space="preserve">”)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SEL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SEL Indemnified Party (herein referred to as an “</w:t>
      </w:r>
      <w:r>
        <w:rPr>
          <w:sz w:val="22"/>
          <w:u w:val="single"/>
        </w:rPr>
        <w:t>Indemnified Party</w:t>
      </w:r>
      <w:r>
        <w:rPr>
          <w:sz w:val="22"/>
        </w:rPr>
        <w:t>”), and if such party intends to seek indemnity with respect thereto under this Section 14, such Indemnified Party shall promptly notify SEL or ENA, as the case may be (herein referred to as the “</w:t>
      </w:r>
      <w:r>
        <w:rPr>
          <w:sz w:val="22"/>
          <w:u w:val="single"/>
        </w:rPr>
        <w:t>Indemnitor</w:t>
      </w:r>
      <w:r>
        <w:rPr>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15.</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InterGen North 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374-3901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16.</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16 or defined in another Section of this Agreement shall, when used in this Agreement, have the respective meanings specified in this Section 16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(g)</w:t>
      </w:r>
      <w:r>
        <w:rPr>
          <w:sz w:val="22"/>
        </w:rPr>
        <w:tab/>
        <w:t>“</w:t>
      </w:r>
      <w:r>
        <w:rPr>
          <w:sz w:val="22"/>
          <w:u w:val="single"/>
        </w:rPr>
        <w:t>Retained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17.</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18.</w:t>
        <w:tab/>
        <w:t>No Other Offers</w:t>
      </w:r>
      <w:r>
        <w:rPr>
          <w:sz w:val="22"/>
        </w:rPr>
        <w:t>.</w:t>
        <w:tab/>
        <w:t>Until the earlier to occur of the closing of the Transaction or the termination of this Agreement, neither ENA nor any of its affiliates nor any directors, officers, employees, representatives, consultants or agents of ENA or any of its affiliates will, directly or indirectly, solicit, encourage, entertain or accept any other offers to acquire (i) the Subject Unit or any interest therein or (ii) the LLC or, prior to closing of the Transaction, any interest therein.</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b/>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A - Form of ABB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B - Form of Escrow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C - 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Exhibit D - Form of Tax Guaranty Agreement</w:t>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Houston-129088 v10</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Houston-129088 v10</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Houston-129088 v10</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Houston-129088 v10</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27,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11</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2000-12-27T14:46:00Z</dcterms:created>
  <dc:creator>Carolyn Campbell</dc:creator>
  <dc:description>Houston-129088 v10</dc:description>
  <dc:language>en-CA</dc:language>
  <cp:lastModifiedBy>K&amp;S</cp:lastModifiedBy>
  <cp:lastPrinted>2000-12-27T17:00:00Z</cp:lastPrinted>
  <dcterms:modified xsi:type="dcterms:W3CDTF">2000-12-27T20:30:00Z</dcterms:modified>
  <cp:revision>12</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