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b/>
          <w:sz w:val="22"/>
          <w:u w:val="double"/>
        </w:rPr>
        <w:t>Re:    CA Energy Development I, LLC</w:t>
      </w:r>
    </w:p>
    <w:p>
      <w:pPr>
        <w:pStyle w:val="Normal"/>
        <w:bidi w:val="0"/>
        <w:ind w:firstLine="720"/>
        <w:jc w:val="both"/>
        <w:rPr>
          <w:sz w:val="22"/>
        </w:rPr>
      </w:pPr>
      <w:r>
        <w:rPr>
          <w:sz w:val="22"/>
        </w:rPr>
        <w:t xml:space="preserve">                </w:t>
      </w:r>
      <w:r>
        <w:rPr>
          <w:strike/>
          <w:sz w:val="22"/>
        </w:rPr>
        <w:t>Re:</w:t>
      </w:r>
      <w:r>
        <w:rPr>
          <w:sz w:val="22"/>
        </w:rPr>
        <w:t xml:space="preserve"> 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r>
        <w:rPr>
          <w:b/>
          <w:sz w:val="22"/>
          <w:u w:val="double"/>
        </w:rPr>
        <w:t>substantially</w:t>
      </w:r>
      <w:r>
        <w:rPr>
          <w:sz w:val="22"/>
        </w:rPr>
        <w:t xml:space="preserve"> the same form as the agreement attached hereto </w:t>
      </w:r>
      <w:r>
        <w:rPr>
          <w:b/>
          <w:sz w:val="22"/>
          <w:u w:val="double"/>
        </w:rPr>
        <w:t>as Exhibit A</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TEH shall acquire, and ENA shall cause the LLC to issue to TEH, membership interests in the LLC (“</w:t>
      </w:r>
      <w:r>
        <w:rPr>
          <w:sz w:val="22"/>
          <w:u w:val="single"/>
        </w:rPr>
        <w:t>Membership Interests</w:t>
      </w:r>
      <w:r>
        <w:rPr>
          <w:sz w:val="22"/>
        </w:rPr>
        <w:t xml:space="preserve">”) representing 80% of the equity in the LLC (the “TEH </w:t>
      </w:r>
      <w:r>
        <w:rPr>
          <w:sz w:val="22"/>
          <w:u w:val="single"/>
        </w:rPr>
        <w:t>Membership Interests</w:t>
      </w:r>
      <w:r>
        <w:rPr>
          <w:sz w:val="22"/>
        </w:rPr>
        <w:t>”) in exchange for a contribution to the capital of the LLC by TEH in the amount of Eight Hundred and No/100 Dollars ($800.00) cash.</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Simultaneously with the acquisition by TEH of the TEH Membership Interests, ENA and TEH shall execute and deliver the First Amended and Restated Limited Liability Company Agreement of the LLC (the “</w:t>
      </w:r>
      <w:r>
        <w:rPr>
          <w:sz w:val="22"/>
          <w:u w:val="single"/>
        </w:rPr>
        <w:t>LLC Agreement</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(d)</w:t>
      </w:r>
      <w:r>
        <w:rPr>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b/>
          <w:sz w:val="22"/>
          <w:u w:val="double"/>
        </w:rPr>
      </w:pPr>
      <w:r>
        <w:rPr>
          <w:sz w:val="22"/>
        </w:rPr>
        <w:tab/>
      </w:r>
      <w:r>
        <w:rPr>
          <w:b/>
          <w:sz w:val="22"/>
        </w:rPr>
        <w:t>(f)</w:t>
      </w:r>
      <w:r>
        <w:rPr>
          <w:sz w:val="22"/>
        </w:rPr>
        <w:tab/>
        <w:t xml:space="preserve">TEH shall have received a written acknowledgement and confirmation from GE in the form attached hereto </w:t>
      </w:r>
      <w:r>
        <w:rPr>
          <w:b/>
          <w:sz w:val="22"/>
          <w:u w:val="double"/>
        </w:rPr>
        <w:t>as Exhibit B.</w:t>
      </w:r>
    </w:p>
    <w:p>
      <w:pPr>
        <w:pStyle w:val="Normal"/>
        <w:bidi w:val="0"/>
        <w:ind w:firstLine="720"/>
        <w:jc w:val="both"/>
        <w:rPr>
          <w:b/>
          <w:sz w:val="22"/>
          <w:u w:val="double"/>
        </w:rPr>
      </w:pPr>
      <w:r>
        <w:rPr>
          <w:b/>
          <w:sz w:val="22"/>
          <w:u w:val="double"/>
        </w:rPr>
      </w:r>
    </w:p>
    <w:p>
      <w:pPr>
        <w:pStyle w:val="Normal"/>
        <w:bidi w:val="0"/>
        <w:ind w:firstLine="720"/>
        <w:jc w:val="both"/>
        <w:rPr>
          <w:b/>
          <w:sz w:val="22"/>
        </w:rPr>
      </w:pPr>
      <w:r>
        <w:rPr>
          <w:b/>
          <w:sz w:val="22"/>
        </w:rPr>
        <w:tab/>
      </w:r>
      <w:r>
        <w:rPr>
          <w:b/>
          <w:sz w:val="22"/>
          <w:u w:val="double"/>
        </w:rPr>
        <w:t>[(g)</w:t>
      </w:r>
      <w:r>
        <w:rPr>
          <w:b/>
          <w:sz w:val="22"/>
        </w:rPr>
        <w:tab/>
      </w:r>
      <w:r>
        <w:rPr>
          <w:b/>
          <w:sz w:val="22"/>
          <w:u w:val="double"/>
        </w:rPr>
        <w:t>TEH shall deliver to ENA a Guaranty Agreement executed by _____________ substantially in the form attached here as Exhibit C, pursuant to which the guarantor guarantees payment and performance of the obligations of TEH pursuant to this Agreement.]</w:t>
      </w:r>
      <w:r>
        <w:rPr>
          <w:sz w:val="22"/>
        </w:rPr>
        <w:t xml:space="preserve">    </w:t>
      </w:r>
    </w:p>
    <w:p>
      <w:pPr>
        <w:pStyle w:val="Normal"/>
        <w:bidi w:val="0"/>
        <w:ind w:firstLine="720"/>
        <w:jc w:val="both"/>
        <w:rPr>
          <w:sz w:val="22"/>
        </w:rPr>
      </w:pPr>
      <w:r>
        <w:rPr>
          <w:sz w:val="22"/>
        </w:rPr>
      </w:r>
    </w:p>
    <w:p>
      <w:pPr>
        <w:pStyle w:val="Normal"/>
        <w:bidi w:val="0"/>
        <w:ind w:firstLine="720"/>
        <w:jc w:val="both"/>
        <w:rPr>
          <w:strike/>
          <w:sz w:val="22"/>
        </w:rPr>
      </w:pPr>
      <w:r>
        <w:rPr>
          <w:b/>
          <w:sz w:val="22"/>
        </w:rPr>
        <w:t>3.</w:t>
        <w:tab/>
        <w:t xml:space="preserve">Additional Covenants and Agreements.    </w:t>
      </w:r>
      <w:r>
        <w:rPr>
          <w:sz w:val="22"/>
        </w:rPr>
        <w:t>Upon and subsequent to the closing of the Transaction, the parties covenant and agree as follows:</w:t>
      </w:r>
      <w:r>
        <w:rPr>
          <w:strike/>
          <w:sz w:val="22"/>
        </w:rPr>
        <w:t>:</w:t>
      </w:r>
    </w:p>
    <w:p>
      <w:pPr>
        <w:pStyle w:val="Normal"/>
        <w:bidi w:val="0"/>
        <w:ind w:firstLine="720"/>
        <w:jc w:val="both"/>
        <w:rPr>
          <w:sz w:val="22"/>
        </w:rPr>
      </w:pPr>
      <w:r>
        <w:rPr>
          <w:sz w:val="22"/>
        </w:rPr>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 xml:space="preserve">ENA agrees to be responsible for, </w:t>
      </w:r>
      <w:r>
        <w:rPr>
          <w:strike/>
          <w:sz w:val="22"/>
        </w:rPr>
        <w:t>to promptly pay,</w:t>
      </w:r>
      <w:r>
        <w:rPr>
          <w:sz w:val="22"/>
        </w:rPr>
        <w:t xml:space="preserve"> and to hold TEH and the LLC harmless from and against, </w:t>
      </w:r>
      <w:r>
        <w:rPr>
          <w:strike/>
          <w:sz w:val="22"/>
        </w:rPr>
        <w:t>any and all amounts which are or become due and payable to GE or its successors and assigns pursuant to the terms of the Facility Agreement, except for the payments for which TEH is responsible pursuant to Section 3(b) below.</w:t>
      </w:r>
      <w:r>
        <w:rPr>
          <w:sz w:val="22"/>
        </w:rPr>
        <w:t xml:space="preserve"> </w:t>
      </w:r>
      <w:r>
        <w:rPr>
          <w:b/>
          <w:sz w:val="22"/>
          <w:u w:val="double"/>
        </w:rPr>
        <w:t>payment of an amount equal to $1,829,000.00 due to GE on January 15, 2001 in connection with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 xml:space="preserve">TEH agrees to be responsible for, and to hold ENA and the LLC harmless from and against, payment of (i) any and all amounts due and payable to the vendor of the Subject Unit </w:t>
      </w:r>
      <w:r>
        <w:rPr>
          <w:strike/>
          <w:sz w:val="22"/>
        </w:rPr>
        <w:t>attributable to any acts or omissions of TEH, the LLC or their respective affiliates (other than ENA)</w:t>
      </w:r>
      <w:r>
        <w:rPr>
          <w:sz w:val="22"/>
        </w:rPr>
        <w:t xml:space="preserve"> after the closing of the Transaction, including, without limitation, any change orders affecting the Subject Unit, or any amendments, revisions, modifications or supplements to, or assignments or transfers of, the Facility Agreement or any of the foregoing actions with respect to the Subject Unit, but excluding </w:t>
      </w:r>
      <w:r>
        <w:rPr>
          <w:strike/>
          <w:sz w:val="22"/>
        </w:rPr>
        <w:t>any payments of the “Purchase Amount” under the Facility Agreement to the extent the same are not attributable to change orders, amendments, revisions, modifications, supplements, assignments or transfers by TEH, the LLC or their respective affiliates (other than ENA) after the closing of the Transaction</w:t>
      </w:r>
      <w:r>
        <w:rPr>
          <w:sz w:val="22"/>
        </w:rPr>
        <w:t xml:space="preserve"> </w:t>
      </w:r>
      <w:r>
        <w:rPr>
          <w:b/>
          <w:sz w:val="22"/>
          <w:u w:val="double"/>
        </w:rPr>
        <w:t>payment of the amount for which ENA is responsible pursuant to Section 3(a) hereof</w:t>
      </w:r>
      <w:r>
        <w:rPr>
          <w:sz w:val="22"/>
        </w:rPr>
        <w: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w:t>
      </w:r>
      <w:r>
        <w:rPr>
          <w:strike/>
          <w:sz w:val="22"/>
        </w:rPr>
        <w:t>(as defined in the Facility Agreement)</w:t>
      </w:r>
      <w:r>
        <w:rPr>
          <w:sz w:val="22"/>
        </w:rPr>
        <w:t>, or (ii) the breach of the Facility Agreement by any party thereto. 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w:t>
      </w:r>
      <w:r>
        <w:rPr>
          <w:strike/>
          <w:sz w:val="22"/>
        </w:rPr>
        <w:t>(as defined in the Facility Agreement)</w:t>
      </w:r>
      <w:r>
        <w:rPr>
          <w:sz w:val="22"/>
        </w:rPr>
        <w: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sz w:val="22"/>
        </w:rPr>
      </w:pPr>
      <w:r>
        <w:rPr>
          <w:sz w:val="22"/>
        </w:rPr>
      </w:r>
    </w:p>
    <w:p>
      <w:pPr>
        <w:pStyle w:val="Normal"/>
        <w:bidi w:val="0"/>
        <w:ind w:firstLine="720"/>
        <w:jc w:val="both"/>
        <w:rPr>
          <w:b/>
          <w:sz w:val="22"/>
        </w:rPr>
      </w:pPr>
      <w:r>
        <w:rPr>
          <w:sz w:val="22"/>
        </w:rPr>
        <w:tab/>
      </w:r>
      <w:r>
        <w:rPr>
          <w:b/>
          <w:sz w:val="22"/>
        </w:rPr>
        <w:t>(d)</w:t>
        <w:tab/>
      </w:r>
      <w:r>
        <w:rPr>
          <w:sz w:val="22"/>
        </w:rPr>
        <w:t xml:space="preserve">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w:t>
      </w:r>
      <w:r>
        <w:rPr>
          <w:b/>
          <w:sz w:val="22"/>
          <w:u w:val="double"/>
        </w:rPr>
        <w:t>gross</w:t>
      </w:r>
      <w:r>
        <w:rPr>
          <w:sz w:val="22"/>
        </w:rPr>
        <w:t xml:space="preserve">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b/>
          <w:sz w:val="22"/>
        </w:rPr>
      </w:pPr>
      <w:r>
        <w:rPr>
          <w:b/>
          <w:sz w:val="22"/>
        </w:rPr>
        <w:tab/>
        <w:t>(e)</w:t>
        <w:tab/>
      </w:r>
      <w:r>
        <w:rPr>
          <w:sz w:val="22"/>
        </w:rPr>
        <w:t>ENA covenants and agrees that (i) ENA shall not, by act or omission, cause</w:t>
      </w:r>
      <w:r>
        <w:rPr>
          <w:strike/>
          <w:sz w:val="22"/>
        </w:rPr>
        <w:t>, permit or bring about</w:t>
      </w:r>
      <w:r>
        <w:rPr>
          <w:sz w:val="22"/>
        </w:rPr>
        <w:t xml:space="preserve"> any breach of the Facility Agreement; and (ii) following closing of the Transaction, ENA will </w:t>
      </w:r>
      <w:r>
        <w:rPr>
          <w:strike/>
          <w:sz w:val="22"/>
        </w:rPr>
        <w:t>(A) assist the LLC in enforcing any of the terms of the Facility Agreement, if necessary, and (B)</w:t>
      </w:r>
      <w:r>
        <w:rPr>
          <w:sz w:val="22"/>
        </w:rPr>
        <w:t xml:space="preserve"> deliver to TEH copies of all correspondence which it receives from any entity, including without limitation GE, in connection with the Subject Unit or the Facility Agreement</w:t>
      </w:r>
      <w:r>
        <w:rPr>
          <w:b/>
          <w:sz w:val="22"/>
          <w:u w:val="double"/>
        </w:rPr>
        <w:t>.</w:t>
      </w:r>
    </w:p>
    <w:p>
      <w:pPr>
        <w:pStyle w:val="Normal"/>
        <w:bidi w:val="0"/>
        <w:ind w:firstLine="720"/>
        <w:jc w:val="both"/>
        <w:rPr>
          <w:sz w:val="22"/>
        </w:rPr>
      </w:pPr>
      <w:r>
        <w:rPr>
          <w:sz w:val="22"/>
        </w:rPr>
      </w:r>
    </w:p>
    <w:p>
      <w:pPr>
        <w:pStyle w:val="Normal"/>
        <w:bidi w:val="0"/>
        <w:ind w:firstLine="720"/>
        <w:jc w:val="both"/>
        <w:rPr>
          <w:sz w:val="22"/>
        </w:rPr>
      </w:pPr>
      <w:r>
        <w:rPr>
          <w:b/>
          <w:sz w:val="22"/>
        </w:rPr>
        <w:tab/>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ENA specifically represents and warrants that (i) the Facility Agreement </w:t>
      </w:r>
      <w:r>
        <w:rPr>
          <w:strike/>
          <w:sz w:val="22"/>
        </w:rPr>
        <w:t>is in full force and effect and constitutes</w:t>
      </w:r>
      <w:r>
        <w:rPr>
          <w:b/>
          <w:sz w:val="22"/>
          <w:u w:val="double"/>
        </w:rPr>
        <w:t>, when executed and delivered by the parties thereto, will constitute</w:t>
      </w:r>
      <w:r>
        <w:rPr>
          <w:sz w:val="22"/>
        </w:rPr>
        <w:t xml:space="preserve"> the legal, valid and binding agreement of both of the parties thereto; (ii) the copy of the Facility Agreement attached hereto as </w:t>
      </w:r>
      <w:r>
        <w:rPr>
          <w:sz w:val="22"/>
          <w:u w:val="single"/>
        </w:rPr>
        <w:t>Exhibit A</w:t>
      </w:r>
      <w:r>
        <w:rPr>
          <w:sz w:val="22"/>
        </w:rPr>
        <w:t xml:space="preserve"> is complete, true and correct in all </w:t>
      </w:r>
      <w:r>
        <w:rPr>
          <w:b/>
          <w:sz w:val="22"/>
          <w:u w:val="double"/>
        </w:rPr>
        <w:t>material</w:t>
      </w:r>
      <w:r>
        <w:rPr>
          <w:sz w:val="22"/>
        </w:rPr>
        <w:t xml:space="preserve"> respects, and as of the date of closing will not have been amended, revised, assigned, transferred, conveyed or otherwise modified and no change orders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w:t>
      </w:r>
      <w:r>
        <w:rPr>
          <w:strike/>
          <w:sz w:val="22"/>
        </w:rPr>
        <w:t>Paragraph</w:t>
      </w:r>
      <w:r>
        <w:rPr>
          <w:sz w:val="22"/>
        </w:rPr>
        <w:t xml:space="preserve"> </w:t>
      </w:r>
      <w:r>
        <w:rPr>
          <w:b/>
          <w:sz w:val="22"/>
          <w:u w:val="double"/>
        </w:rPr>
        <w:t>Section</w:t>
      </w:r>
      <w:r>
        <w:rPr>
          <w:sz w:val="22"/>
        </w:rPr>
        <w:t xml:space="preserve">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(d)</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w:t>
      </w:r>
      <w:r>
        <w:rPr>
          <w:strike/>
          <w:sz w:val="22"/>
        </w:rPr>
        <w:t>Laws. The</w:t>
      </w:r>
      <w:r>
        <w:rPr>
          <w:sz w:val="22"/>
        </w:rPr>
        <w:t xml:space="preserve"> </w:t>
      </w:r>
      <w:r>
        <w:rPr>
          <w:b/>
          <w:sz w:val="22"/>
          <w:u w:val="double"/>
        </w:rPr>
        <w:t>laws.    Upon issuance of the</w:t>
      </w:r>
      <w:r>
        <w:rPr>
          <w:sz w:val="22"/>
        </w:rPr>
        <w:t xml:space="preserve"> TEH Membership Interests </w:t>
      </w:r>
      <w:r>
        <w:rPr>
          <w:b/>
          <w:sz w:val="22"/>
          <w:u w:val="double"/>
        </w:rPr>
        <w:t>against payment therefor as contemplated by this Agreement, the TEH Membership Interests will</w:t>
      </w:r>
      <w:r>
        <w:rPr>
          <w:sz w:val="22"/>
        </w:rPr>
        <w:t xml:space="preserve"> have been </w:t>
      </w:r>
      <w:r>
        <w:rPr>
          <w:strike/>
          <w:sz w:val="22"/>
        </w:rPr>
        <w:t>duly authorized and are</w:t>
      </w:r>
      <w:r>
        <w:rPr>
          <w:sz w:val="22"/>
        </w:rPr>
        <w:t xml:space="preserve"> validly issued, </w:t>
      </w:r>
      <w:r>
        <w:rPr>
          <w:strike/>
          <w:sz w:val="22"/>
        </w:rPr>
        <w:t>and were not issued in</w:t>
      </w:r>
      <w:r>
        <w:rPr>
          <w:sz w:val="22"/>
        </w:rPr>
        <w:t xml:space="preserve"> </w:t>
      </w:r>
      <w:r>
        <w:rPr>
          <w:b/>
          <w:sz w:val="22"/>
          <w:u w:val="double"/>
        </w:rPr>
        <w:t>without</w:t>
      </w:r>
      <w:r>
        <w:rPr>
          <w:sz w:val="22"/>
        </w:rPr>
        <w:t xml:space="preserve">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 xml:space="preserve">The LLC is a limited liability company duly organized and validly existing under the laws of the State of Delaware </w:t>
      </w:r>
      <w:r>
        <w:rPr>
          <w:strike/>
          <w:sz w:val="22"/>
        </w:rPr>
        <w:t>and is duly qualified to do business as a foreign limited liability company in the States of Texas and California</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Since its formation, the LLC has engaged in no business, other than the Transaction and the Facility Agreement, and has complied with all laws, rules, regulations and orders of governmental authority applicable to the LLC or its assets and business.    Since its formation, the LLC </w:t>
      </w:r>
      <w:r>
        <w:rPr>
          <w:strike/>
          <w:sz w:val="22"/>
        </w:rPr>
        <w:t>Company</w:t>
      </w:r>
      <w:r>
        <w:rPr>
          <w:sz w:val="22"/>
        </w:rPr>
        <w:t xml:space="preserve">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w:t>
      </w:r>
      <w:r>
        <w:rPr>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w:t>
      </w:r>
      <w:r>
        <w:rPr>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w:t>
      </w:r>
      <w:r>
        <w:rPr>
          <w:sz w:val="22"/>
        </w:rPr>
        <w:tab/>
      </w:r>
      <w:r>
        <w:rPr>
          <w:strike/>
          <w:sz w:val="22"/>
        </w:rPr>
        <w:t>The</w:t>
      </w:r>
      <w:r>
        <w:rPr>
          <w:sz w:val="22"/>
        </w:rPr>
        <w:t xml:space="preserve"> </w:t>
      </w:r>
      <w:r>
        <w:rPr>
          <w:b/>
          <w:sz w:val="22"/>
          <w:u w:val="double"/>
        </w:rPr>
        <w:t>At closing, the</w:t>
      </w:r>
      <w:r>
        <w:rPr>
          <w:sz w:val="22"/>
        </w:rPr>
        <w:t xml:space="preserve"> LLC </w:t>
      </w:r>
      <w:r>
        <w:rPr>
          <w:strike/>
          <w:sz w:val="22"/>
        </w:rPr>
        <w:t>owns</w:t>
      </w:r>
      <w:r>
        <w:rPr>
          <w:sz w:val="22"/>
        </w:rPr>
        <w:t xml:space="preserve"> </w:t>
      </w:r>
      <w:r>
        <w:rPr>
          <w:b/>
          <w:sz w:val="22"/>
          <w:u w:val="double"/>
        </w:rPr>
        <w:t>will own</w:t>
      </w:r>
      <w:r>
        <w:rPr>
          <w:sz w:val="22"/>
        </w:rPr>
        <w:t xml:space="preserve"> and </w:t>
      </w:r>
      <w:r>
        <w:rPr>
          <w:strike/>
          <w:sz w:val="22"/>
        </w:rPr>
        <w:t>holds</w:t>
      </w:r>
      <w:r>
        <w:rPr>
          <w:sz w:val="22"/>
        </w:rPr>
        <w:t xml:space="preserve"> </w:t>
      </w:r>
      <w:r>
        <w:rPr>
          <w:b/>
          <w:sz w:val="22"/>
          <w:u w:val="double"/>
        </w:rPr>
        <w:t>hold</w:t>
      </w:r>
      <w:r>
        <w:rPr>
          <w:sz w:val="22"/>
        </w:rPr>
        <w:t xml:space="preserve"> good and valid title to all rights and interests of the “Purchaser” under the Facility Agreement free and clear of any security interests, liens, options, purchase rights or other encumbrances, and </w:t>
      </w:r>
      <w:r>
        <w:rPr>
          <w:strike/>
          <w:sz w:val="22"/>
        </w:rPr>
        <w:t>has</w:t>
      </w:r>
      <w:r>
        <w:rPr>
          <w:sz w:val="22"/>
        </w:rPr>
        <w:t xml:space="preserve"> </w:t>
      </w:r>
      <w:r>
        <w:rPr>
          <w:b/>
          <w:sz w:val="22"/>
          <w:u w:val="double"/>
        </w:rPr>
        <w:t>will</w:t>
      </w:r>
      <w:r>
        <w:rPr>
          <w:sz w:val="22"/>
        </w:rPr>
        <w:t xml:space="preserve"> not </w:t>
      </w:r>
      <w:r>
        <w:rPr>
          <w:b/>
          <w:sz w:val="22"/>
          <w:u w:val="double"/>
        </w:rPr>
        <w:t>have</w:t>
      </w:r>
      <w:r>
        <w:rPr>
          <w:sz w:val="22"/>
        </w:rPr>
        <w:t xml:space="preser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(viii)</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(ix)</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z w:val="22"/>
        </w:rPr>
        <w:t>(xii)</w:t>
        <w:tab/>
      </w:r>
      <w:r>
        <w:rPr>
          <w:b/>
          <w:strike/>
          <w:sz w:val="22"/>
        </w:rPr>
        <w:t xml:space="preserve"> </w:t>
      </w:r>
      <w:r>
        <w:rPr>
          <w:strike/>
          <w:sz w:val="22"/>
        </w:rPr>
        <w:t>Attached to this Agreement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(xiii)</w:t>
      </w:r>
      <w:r>
        <w:rPr>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(xiv)</w:t>
      </w:r>
      <w:r>
        <w:rPr>
          <w:b/>
          <w:sz w:val="22"/>
          <w:u w:val="double"/>
        </w:rPr>
        <w:t>(xiii)</w:t>
      </w:r>
      <w:r>
        <w:rPr>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t xml:space="preserve">(xv) </w:t>
        <w:tab/>
      </w:r>
      <w:r>
        <w:rPr>
          <w:strike/>
          <w:sz w:val="22"/>
        </w:rPr>
        <w:t>The Facility Agreement was separated and subdivided from the Original Agreement in a manner which allocated a proportionate share of the respective commercial and financial terms (including liquidated damage amounts) of the Original Agreement to the Facility Agreement. The “Original Agreement” means that certain Agreement dated May 12, 2000, by and between Westdeutsche Landesbank Girozentrale, New York Branch, acting through its Agent, Enron North America Corp., and GE Packaged Power, Inc. for the purchase of 24 LM6000 Enhanced Sprint Gas Turbine Generator 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(xvi)</w:t>
      </w:r>
      <w:r>
        <w:rPr>
          <w:b/>
          <w:sz w:val="22"/>
          <w:u w:val="double"/>
        </w:rPr>
        <w:t>(xiv)</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w:t>
      </w:r>
      <w:r>
        <w:rPr>
          <w:b/>
          <w:sz w:val="22"/>
          <w:u w:val="double"/>
        </w:rPr>
        <w:t>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u w:val="double"/>
        </w:rPr>
      </w:pPr>
      <w:r>
        <w:rPr>
          <w:rStyle w:val="1"/>
          <w:b/>
        </w:rPr>
        <w:t>11.</w:t>
        <w:tab/>
      </w:r>
      <w:r>
        <w:rPr>
          <w:rStyle w:val="1"/>
          <w:b/>
          <w:strike/>
        </w:rPr>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r>
        <w:rPr>
          <w:rStyle w:val="1"/>
          <w:b/>
        </w:rPr>
        <w:t xml:space="preserve"> </w:t>
      </w:r>
      <w:r>
        <w:rPr>
          <w:rStyle w:val="1"/>
          <w:b/>
          <w:u w:val="double"/>
        </w:rPr>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u w:val="double"/>
        </w:rPr>
      </w:pPr>
      <w:r>
        <w:rPr>
          <w:b/>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u w:val="double"/>
        </w:rPr>
      </w:pPr>
      <w:r>
        <w:rPr>
          <w:b/>
          <w:sz w:val="22"/>
        </w:rPr>
        <w:tab/>
      </w:r>
      <w:r>
        <w:rPr>
          <w:b/>
          <w:sz w:val="22"/>
          <w:u w:val="double"/>
        </w:rPr>
        <w:t>(a)</w:t>
      </w:r>
      <w:r>
        <w:rPr>
          <w:b/>
          <w:sz w:val="22"/>
        </w:rPr>
        <w:tab/>
      </w:r>
      <w:r>
        <w:rPr>
          <w:b/>
          <w:sz w:val="22"/>
          <w:u w:val="double"/>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r>
      <w:r>
        <w:rPr>
          <w:rStyle w:val="1"/>
          <w:b/>
          <w:u w:val="double"/>
        </w:rPr>
        <w:t>(b)</w:t>
      </w:r>
      <w:r>
        <w:rPr>
          <w:rStyle w:val="1"/>
          <w:b/>
        </w:rPr>
        <w:tab/>
      </w:r>
      <w:r>
        <w:rPr>
          <w:rStyle w:val="1"/>
          <w:b/>
          <w:u w:val="double"/>
        </w:rPr>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w:t>
      </w:r>
      <w:r>
        <w:rPr>
          <w:strike/>
          <w:sz w:val="22"/>
        </w:rPr>
        <w:t>TEH</w:t>
      </w:r>
      <w:r>
        <w:rPr>
          <w:sz w:val="22"/>
        </w:rPr>
        <w:t xml:space="preserve"> </w:t>
      </w:r>
      <w:r>
        <w:rPr>
          <w:b/>
          <w:sz w:val="22"/>
          <w:u w:val="double"/>
        </w:rPr>
        <w:t>either Party</w:t>
      </w:r>
      <w:r>
        <w:rPr>
          <w:sz w:val="22"/>
        </w:rPr>
        <w:t xml:space="preserve"> may assign its rights and obligations hereunder without the approval of </w:t>
      </w:r>
      <w:r>
        <w:rPr>
          <w:strike/>
          <w:sz w:val="22"/>
        </w:rPr>
        <w:t>ENA</w:t>
      </w:r>
      <w:r>
        <w:rPr>
          <w:sz w:val="22"/>
        </w:rPr>
        <w:t xml:space="preserve"> </w:t>
      </w:r>
      <w:r>
        <w:rPr>
          <w:b/>
          <w:sz w:val="22"/>
          <w:u w:val="double"/>
        </w:rPr>
        <w:t>the other</w:t>
      </w:r>
      <w:r>
        <w:rPr>
          <w:sz w:val="22"/>
        </w:rPr>
        <w:t xml:space="preserve"> to any subsidiary or affiliate of </w:t>
      </w:r>
      <w:r>
        <w:rPr>
          <w:strike/>
          <w:sz w:val="22"/>
        </w:rPr>
        <w:t>TEH. 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w:t>
      </w:r>
      <w:r>
        <w:rPr>
          <w:sz w:val="22"/>
        </w:rPr>
        <w:t xml:space="preserve"> </w:t>
      </w:r>
      <w:r>
        <w:rPr>
          <w:b/>
          <w:sz w:val="22"/>
          <w:u w:val="double"/>
        </w:rPr>
        <w:t>the assignor</w:t>
      </w:r>
      <w:r>
        <w:rPr>
          <w:sz w:val="22"/>
        </w:rPr>
        <w: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 xml:space="preserve">Location of Definitions.    A defined term has its defined meaning throughout this Agreement </w:t>
      </w:r>
      <w:r>
        <w:rPr>
          <w:strike/>
          <w:sz w:val="22"/>
        </w:rPr>
        <w:t>and each exhibit, attachment, and schedule to this Agreement</w:t>
      </w:r>
      <w:r>
        <w:rPr>
          <w:sz w:val="22"/>
        </w:rPr>
        <w: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A - </w:t>
      </w:r>
      <w:r>
        <w:rPr>
          <w:b/>
          <w:sz w:val="22"/>
          <w:u w:val="double"/>
        </w:rPr>
        <w:t>Form of</w:t>
      </w:r>
      <w:r>
        <w:rPr>
          <w:sz w:val="22"/>
        </w:rPr>
        <w:t xml:space="preserv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B </w:t>
      </w:r>
      <w:r>
        <w:rPr>
          <w:b/>
          <w:sz w:val="22"/>
          <w:u w:val="double"/>
        </w:rPr>
        <w:t>- Form of</w:t>
      </w:r>
      <w:r>
        <w:rPr>
          <w:sz w:val="22"/>
        </w:rPr>
        <w:t xml:space="preserve">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C </w:t>
      </w:r>
      <w:r>
        <w:rPr>
          <w:strike/>
          <w:sz w:val="22"/>
        </w:rPr>
        <w:t>LLC Balance Sheet</w:t>
      </w:r>
      <w:r>
        <w:rPr>
          <w:b/>
          <w:sz w:val="22"/>
          <w:u w:val="double"/>
        </w:rPr>
        <w:t>- Form of Guaranty Agreement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r>
                        </w:p>
                        <w:p>
                          <w:pPr>
                            <w:pStyle w:val="DocID"/>
                            <w:widowControl/>
                            <w:bidi w:val="0"/>
                            <w:jc w:val="start"/>
                            <w:rPr>
                              <w:rFonts w:ascii="Times New Roman" w:hAnsi="Times New Roman"/>
                            </w:rPr>
                          </w:pPr>
                          <w:r>
                            <w:rPr/>
                          </w:r>
                        </w:p>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r>
                  </w:p>
                  <w:p>
                    <w:pPr>
                      <w:pStyle w:val="DocID"/>
                      <w:widowControl/>
                      <w:bidi w:val="0"/>
                      <w:jc w:val="start"/>
                      <w:rPr>
                        <w:rFonts w:ascii="Times New Roman" w:hAnsi="Times New Roman"/>
                      </w:rPr>
                    </w:pPr>
                    <w:r>
                      <w:rPr/>
                    </w:r>
                  </w:p>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Footer"/>
      <w:bidi w:val="0"/>
      <w:jc w:val="start"/>
      <w:rPr>
        <w:rFonts w:ascii="Times New Roman" w:hAnsi="Times New Roman"/>
      </w:rPr>
    </w:pPr>
    <w:r>
      <w:rPr/>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12/06/00</w:t>
    </w:r>
    <w: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12</w:t>
    </w:r>
    <w:r>
      <w:rPr>
        <w:rStyle w:val="PageNumber"/>
        <w:sz w:val="22"/>
        <w:lang w:val="en-CA"/>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12/06/00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5348</Words>
  <Characters>37437</Characters>
  <CharactersWithSpaces>30485</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2000-12-06T14:51:00Z</dcterms:created>
  <dc:creator>Carolyn Campbell</dc:creator>
  <dc:description/>
  <dc:language>en-CA</dc:language>
  <cp:lastModifiedBy/>
  <cp:lastPrinted>2000-12-06T16:32:00Z</cp:lastPrinted>
  <dcterms:modified xsi:type="dcterms:W3CDTF">2000-12-06T23:41:00Z</dcterms:modified>
  <cp:revision>15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