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a Project more particularly described as in this Paragraph 2 (collectively, the “</w:t>
      </w:r>
      <w:r>
        <w:rPr>
          <w:sz w:val="22"/>
          <w:u w:val="single"/>
        </w:rPr>
        <w:t>Transaction</w:t>
      </w:r>
      <w:r>
        <w:rPr>
          <w:sz w:val="22"/>
        </w:rPr>
        <w:t>”).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one LM6000 enhanced SPRINT dual-fuel combustion turbine generator set (the “</w:t>
      </w:r>
      <w:r>
        <w:rPr>
          <w:sz w:val="22"/>
          <w:u w:val="single"/>
        </w:rPr>
        <w:t>Subject Unit</w:t>
      </w:r>
      <w:r>
        <w:rPr>
          <w:sz w:val="22"/>
        </w:rPr>
        <w:t>”) from General Electric Company (“</w:t>
      </w:r>
      <w:r>
        <w:rPr>
          <w:sz w:val="22"/>
          <w:u w:val="single"/>
        </w:rPr>
        <w:t>GE</w:t>
      </w:r>
      <w:r>
        <w:rPr>
          <w:sz w:val="22"/>
        </w:rPr>
        <w:t>”), pursuant to an agreement of even date herewith between the LLC and GE (the “</w:t>
      </w:r>
      <w:r>
        <w:rPr>
          <w:sz w:val="22"/>
          <w:u w:val="single"/>
        </w:rPr>
        <w:t>Facility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any and all amounts due and payable to the vendor of the Subject Unit (save and except any and all sales, transfer, use and other taxes which might arise in connection with the sale, transfer, assignment, ownership or operation  of the Subject Unit); provided that such amounts are not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(as defined in the Facility Agreement),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is a valid and binding obligation upon both of the parties thereto, and that the copy of the Facility Agreement attached hereto as </w:t>
      </w:r>
      <w:r>
        <w:rPr>
          <w:sz w:val="22"/>
          <w:u w:val="single"/>
        </w:rPr>
        <w:t>Exhibit A</w:t>
      </w:r>
      <w:r>
        <w:rPr>
          <w:sz w:val="22"/>
        </w:rPr>
        <w:t xml:space="preserve"> is complete, true and correct in all respects, and has not been amended, revised, assigned, transferred, conveyed or otherwise modified; (ii) to the best of ENA’s knowledge, neither the LLC nor GE is in breach of any of the terms of the Breakout  Contract, and ENA knows of no facts which, or which with the passage of time, may give rise to a breach of the Facility Agreement; (iii) no consents or other authorizations are required in order for ENA to effect the Transaction contemplated hereby; (iv) consummation of the Transaction will not result in any material alteration of any of the obligations of the LLC or GE under the Facility Agreement to the detriment of the LLC; (v) ENA shall not, by act or omission, cause, permit or bring about any breach of the Facility Agreement; (vi) ENA shall not amend, revise, assign, transfer, convey or otherwise modify the Facility Agreement insofar as it relates to the Subject Unit, (vii)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Facility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v3</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11/30/00</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11/30/00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2000-11-30T23:34:00Z</dcterms:created>
  <dc:creator>Carolyn Campbell</dc:creator>
  <dc:description>Houston-128541 v3</dc:description>
  <dc:language>en-CA</dc:language>
  <cp:lastModifiedBy>Carolyn Campbell</cp:lastModifiedBy>
  <cp:lastPrinted>2000-11-30T11:23:00Z</cp:lastPrinted>
  <dcterms:modified xsi:type="dcterms:W3CDTF">2000-12-01T00:46:00Z</dcterms:modified>
  <cp:revision>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