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18th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SEL has become a Member of the Company, and ENA and SEL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val="false"/>
        <w:suppressAutoHyphens w:val="true"/>
        <w:bidi w:val="0"/>
        <w:jc w:val="start"/>
        <w:rPr/>
      </w:pPr>
      <w:r>
        <w:rPr/>
        <w:tab/>
      </w:r>
      <w:r>
        <w:rPr>
          <w:b/>
          <w:u w:val="double"/>
        </w:rPr>
        <w:t>2.5</w:t>
      </w:r>
      <w:r>
        <w:rPr/>
        <w:tab/>
      </w:r>
      <w:r>
        <w:rPr>
          <w:b/>
          <w:u w:val="double"/>
        </w:rPr>
        <w:t xml:space="preserve">Effective Date.    This Agreement shall become effective as of January 18, 2001, however, the authority of the Board and the Members under the governance provisions of this Agreement shall not take effect until the closing of the "Transaction" occurs under the Letter Agreement.    It is stipulated and agreed that the closing of the "Transaction" under the Letter Agreement shall have occurred prior to 12:01 A.M., Eastern Time, on January 19, 2001. </w:t>
      </w:r>
    </w:p>
    <w:p>
      <w:pPr>
        <w:pStyle w:val="Normal"/>
        <w:widowControl/>
        <w:bidi w:val="0"/>
        <w:ind w:firstLine="72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SEL is a limited partnership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SEL has full partnership power and authority to enter into and perform this Agreement.    The partners of SEL have taken all actions required by law, SEL’s Certificate of Limited Partnership, its Limited Partnership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Neither the execution, delivery or performance of this Agreement by SEL will violate any provision of the Certificate of Limited Partnership or Limited Partnership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SEL are John D. Jones, Steve Weyel and West Griffin, and the initial Director designated by ENA is Ben F. Jacoby.</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SEL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SEL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SEL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is by SEL (or its successors and assigns) to any Person; or</w:t>
      </w:r>
    </w:p>
    <w:p>
      <w:pPr>
        <w:pStyle w:val="Normal"/>
        <w:widowControl/>
        <w:bidi w:val="0"/>
        <w:jc w:val="start"/>
        <w:rPr/>
      </w:pPr>
      <w:r>
        <w:rPr/>
      </w:r>
    </w:p>
    <w:p>
      <w:pPr>
        <w:pStyle w:val="Normal"/>
        <w:widowContro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bidi w:val="0"/>
        <w:jc w:val="start"/>
        <w:rPr/>
      </w:pPr>
      <w:r>
        <w:rPr/>
        <w:t>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[INTENTIONALLY OMITTED]</w:t>
      </w:r>
    </w:p>
    <w:p>
      <w:pPr>
        <w:pStyle w:val="Normal"/>
        <w:keepNext w:val="true"/>
        <w:widowControl/>
        <w:bidi w:val="0"/>
        <w:jc w:val="start"/>
        <w:rPr/>
      </w:pPr>
      <w:r>
        <w:rPr/>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pPr>
      <w:r>
        <w:rPr/>
        <w:t>(a)</w:t>
        <w:tab/>
        <w:t>If to SEL, to:</w:t>
      </w:r>
    </w:p>
    <w:p>
      <w:pPr>
        <w:pStyle w:val="Normal"/>
        <w:keepNext w:val="true"/>
        <w:widowControl/>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color w:val="000000"/>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Facility Agreement</w:t>
      </w:r>
      <w:r>
        <w:rPr/>
        <w:t xml:space="preserve">”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w:t>
      </w:r>
      <w:r>
        <w:rPr/>
        <w:t xml:space="preserve">” means that certain letter agreement </w:t>
      </w:r>
      <w:r>
        <w:rPr>
          <w:strike/>
        </w:rPr>
        <w:t>of even date herewith</w:t>
      </w:r>
      <w:r>
        <w:rPr/>
        <w:t xml:space="preserve"> </w:t>
      </w:r>
      <w:r>
        <w:rPr>
          <w:b/>
          <w:u w:val="double"/>
        </w:rPr>
        <w:t>dated December 27, 2000, as amended by letter agreement dated January 5, 2001,</w:t>
      </w:r>
      <w:r>
        <w:rPr/>
        <w:t xml:space="preserve"> between ENA and SEL relating to the Subject Unit and the transaction evidenced by this Agreement.</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SEL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SEL</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3">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12829</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2001-01-12T11:12:00Z</dcterms:created>
  <dc:creator>Carolyn Campbell</dc:creator>
  <dc:description/>
  <dc:language>en-CA</dc:language>
  <cp:lastModifiedBy/>
  <cp:lastPrinted>2001-01-12T11:47:00Z</cp:lastPrinted>
  <dcterms:modified xsi:type="dcterms:W3CDTF">2001-01-12T15:17:00Z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