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 OF 08/23/00</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JAMES HARDIE AUSTRALIA FINANCE PTY. LIMITED, ACN ___________, a corporation organized under the law of Australia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$25,000,000 (or its equivalent in another currency)</w:t>
      </w:r>
      <w:r>
        <w:rPr>
          <w:color w:val="000000"/>
          <w:sz w:val="22"/>
        </w:rPr>
        <w:t xml:space="preserve">; and with respect to Party B’s Credit Support Provider, U.S. $25,000,000 (or its equivalent in another currency);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r>
        <w:rPr>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apply to Party A and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start="720" w:end="0"/>
        <w:jc w:val="both"/>
        <w:rPr>
          <w:sz w:val="22"/>
        </w:rPr>
      </w:pPr>
      <w:r>
        <w:rPr>
          <w:sz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rPr>
      </w:pPr>
      <w:r>
        <w:rPr>
          <w:sz w:val="22"/>
        </w:rPr>
        <w:t>If such representation applies, then:</w:t>
      </w:r>
    </w:p>
    <w:p>
      <w:pPr>
        <w:pStyle w:val="Normal"/>
        <w:spacing w:lineRule="exact" w:line="240" w:before="240" w:after="0"/>
        <w:jc w:val="both"/>
        <w:rPr/>
      </w:pPr>
      <w:r>
        <w:rPr>
          <w:sz w:val="22"/>
        </w:rPr>
        <w:t>"</w:t>
      </w:r>
      <w:r>
        <w:rPr>
          <w:b/>
          <w:sz w:val="22"/>
        </w:rPr>
        <w:t>Specified Treaty</w:t>
      </w:r>
      <w:r>
        <w:rPr>
          <w:sz w:val="22"/>
        </w:rPr>
        <w:t>" means, with respect to Party A, the income tax treaty between the United States and Australia.</w:t>
      </w:r>
    </w:p>
    <w:p>
      <w:pPr>
        <w:pStyle w:val="Normal"/>
        <w:spacing w:lineRule="exact" w:line="240" w:before="240" w:after="0"/>
        <w:jc w:val="both"/>
        <w:rPr/>
      </w:pPr>
      <w:r>
        <w:rPr>
          <w:sz w:val="22"/>
        </w:rPr>
        <w:t>"</w:t>
      </w:r>
      <w:r>
        <w:rPr>
          <w:b/>
          <w:sz w:val="22"/>
        </w:rPr>
        <w:t>Specified Jurisdiction</w:t>
      </w:r>
      <w:r>
        <w:rPr>
          <w:sz w:val="22"/>
        </w:rPr>
        <w:t>" means, with respect to Party A, Australia.</w:t>
      </w:r>
    </w:p>
    <w:p>
      <w:pPr>
        <w:pStyle w:val="Normal"/>
        <w:spacing w:lineRule="exact" w:line="240" w:before="240" w:after="0"/>
        <w:jc w:val="both"/>
        <w:rPr/>
      </w:pPr>
      <w:r>
        <w:rPr>
          <w:sz w:val="22"/>
        </w:rPr>
        <w:t>"</w:t>
      </w:r>
      <w:r>
        <w:rPr>
          <w:b/>
          <w:sz w:val="22"/>
        </w:rPr>
        <w:t>Specified Jurisdiction</w:t>
      </w:r>
      <w:r>
        <w:rPr>
          <w:sz w:val="22"/>
        </w:rPr>
        <w:t>" means, with respect to Party B, the United States.</w:t>
      </w:r>
    </w:p>
    <w:p>
      <w:pPr>
        <w:pStyle w:val="Norma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rPr>
      </w:pPr>
      <w:r>
        <w:rPr>
          <w:sz w:val="22"/>
        </w:rPr>
        <w:t>(2) With respect to such Transactions, each payment received or to be received by Party B in connection with this Agreement will be effectively connected with its conduct of a trade or business in the United States.</w:t>
      </w:r>
    </w:p>
    <w:p>
      <w:pPr>
        <w:pStyle w:val="Normal"/>
        <w:spacing w:lineRule="exact" w:line="240" w:before="240" w:after="0"/>
        <w:ind w:hanging="720" w:start="720" w:end="0"/>
        <w:jc w:val="both"/>
        <w:rPr>
          <w:b/>
          <w:sz w:val="22"/>
        </w:rPr>
      </w:pPr>
      <w:r>
        <w:rPr>
          <w:b/>
          <w:sz w:val="22"/>
        </w:rPr>
        <w:t>Part 3.</w:t>
        <w:tab/>
        <w:t>Agreement to Deliver Documents</w:t>
      </w:r>
    </w:p>
    <w:p>
      <w:pPr>
        <w:pStyle w:val="Normal"/>
        <w:spacing w:lineRule="exact" w:line="240" w:before="240" w:after="0"/>
        <w:jc w:val="both"/>
        <w:rPr>
          <w:sz w:val="22"/>
        </w:rPr>
      </w:pPr>
      <w:r>
        <w:rPr>
          <w:sz w:val="22"/>
        </w:rPr>
        <w:t>For the purpose of Section 4(a), the Tax forms, documents, or certificates to be delivered are:</w:t>
      </w:r>
    </w:p>
    <w:p>
      <w:p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Service Form W-8BEN, or any successor form, with respect to Transactions not identified pursuant to clause (b)(ii)(1) of Part 2,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720" w:start="1440" w:end="0"/>
        <w:jc w:val="both"/>
        <w:rPr>
          <w:sz w:val="22"/>
        </w:rPr>
      </w:pPr>
      <w:r>
        <w:rPr>
          <w:sz w:val="22"/>
        </w:rPr>
        <w:t>(b)</w:t>
        <w:tab/>
        <w:t>Party B agrees to complete (accurately and in a manner reasonably satisfactory to Party A), execute, and deliver to Party A in duplicate a United States Internal Revenue Service Form W-8ECI, or any successor form, with respect to Transactions identified pursuant to clause (b)(ii)(1) of Part 2, (i) before the first Scheduled Payment Date under this Agreement, (ii) before the first Scheduled Payment Date in each successive taxable year of Party B, (iii) promptly upon reasonable demand by Party A, and (iv) promptly upon learning that any such form previously provided by Party B has become obsolete or incorrect.</w:t>
      </w:r>
    </w:p>
    <w:p>
      <w:pPr>
        <w:pStyle w:val="Normal"/>
        <w:spacing w:lineRule="exact" w:line="240" w:before="240" w:after="0"/>
        <w:ind w:firstLine="720" w:end="0"/>
        <w:jc w:val="both"/>
        <w:rPr/>
      </w:pPr>
      <w:r>
        <w:rPr/>
        <w:t>(c)</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1926"/>
        <w:gridCol w:w="2340"/>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1926" w:type="dxa"/>
            <w:tcBorders/>
          </w:tcPr>
          <w:p>
            <w:pPr>
              <w:pStyle w:val="Normal"/>
              <w:spacing w:lineRule="atLeast" w:line="240" w:before="240" w:after="0"/>
              <w:rPr>
                <w:sz w:val="22"/>
              </w:rPr>
            </w:pPr>
            <w:r>
              <w:rPr>
                <w:b/>
                <w:sz w:val="22"/>
              </w:rPr>
              <w:t>Date by which to be delivered</w:t>
            </w:r>
          </w:p>
        </w:tc>
        <w:tc>
          <w:tcPr>
            <w:tcW w:w="2340"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1926" w:type="dxa"/>
            <w:tcBorders/>
          </w:tcPr>
          <w:p>
            <w:pPr>
              <w:pStyle w:val="Normal"/>
              <w:spacing w:lineRule="atLeast" w:line="240" w:before="240" w:after="0"/>
              <w:jc w:val="both"/>
              <w:rPr>
                <w:b/>
                <w:sz w:val="22"/>
              </w:rPr>
            </w:pPr>
            <w:r>
              <w:rPr>
                <w:sz w:val="22"/>
              </w:rPr>
              <w:t>At execution of this Master Agreement</w:t>
            </w:r>
          </w:p>
        </w:tc>
        <w:tc>
          <w:tcPr>
            <w:tcW w:w="2340"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1926" w:type="dxa"/>
            <w:tcBorders/>
          </w:tcPr>
          <w:p>
            <w:pPr>
              <w:pStyle w:val="Normal"/>
              <w:spacing w:lineRule="atLeast" w:line="240" w:before="240" w:after="0"/>
              <w:jc w:val="both"/>
              <w:rPr>
                <w:b/>
                <w:sz w:val="22"/>
              </w:rPr>
            </w:pPr>
            <w:r>
              <w:rPr>
                <w:sz w:val="22"/>
              </w:rPr>
              <w:t>At execution of this Master Agreement</w:t>
            </w:r>
          </w:p>
        </w:tc>
        <w:tc>
          <w:tcPr>
            <w:tcW w:w="2340"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192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2340"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Extract from the Trade Register of the Chamber of Commerce which indicates the names of the Managing Directors and their power of representation</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2340" w:type="dxa"/>
            <w:tcBorders/>
          </w:tcPr>
          <w:p>
            <w:pPr>
              <w:pStyle w:val="Normal"/>
              <w:spacing w:lineRule="atLeast" w:line="240" w:before="240" w:after="0"/>
              <w:jc w:val="both"/>
              <w:rPr>
                <w:sz w:val="22"/>
              </w:rPr>
            </w:pPr>
            <w:r>
              <w:rPr>
                <w:sz w:val="22"/>
              </w:rPr>
              <w:t>Yes</w:t>
            </w:r>
          </w:p>
        </w:tc>
      </w:tr>
      <w:tr>
        <w:trPr/>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192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2340"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192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2340"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pPr>
            <w:r>
              <w:rPr>
                <w:sz w:val="22"/>
              </w:rPr>
              <w:t xml:space="preserve">Annual Audited Consolidated Financial Statement of Party B certified by independent public accountants, together with a Compliance Certificate, as defined in Paragraph 13(m) of </w:t>
            </w:r>
            <w:r>
              <w:rPr>
                <w:sz w:val="22"/>
                <w:u w:val="single"/>
              </w:rPr>
              <w:t>Annex A</w:t>
            </w:r>
            <w:r>
              <w:rPr>
                <w:sz w:val="22"/>
              </w:rPr>
              <w:t xml:space="preserve"> attached hereto</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pPr>
            <w:r>
              <w:rPr>
                <w:sz w:val="22"/>
              </w:rPr>
              <w:t xml:space="preserve">Quarterly Unaudited Consolidated Financial Statement of Party B, together with a Compliance Certificate, as defined in Paragraph 13(m) of </w:t>
            </w:r>
            <w:r>
              <w:rPr>
                <w:sz w:val="22"/>
                <w:u w:val="single"/>
              </w:rPr>
              <w:t>Annex A</w:t>
            </w:r>
            <w:r>
              <w:rPr>
                <w:sz w:val="22"/>
              </w:rPr>
              <w:t xml:space="preserve"> attached hereto</w:t>
            </w:r>
          </w:p>
        </w:tc>
        <w:tc>
          <w:tcPr>
            <w:tcW w:w="1926"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2340"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color w:val="808000"/>
                <w:sz w:val="22"/>
              </w:rPr>
            </w:pPr>
            <w:r>
              <w:rPr>
                <w:sz w:val="22"/>
              </w:rPr>
              <w:t xml:space="preserve">Legal opinion in form and substance </w:t>
            </w:r>
            <w:r>
              <w:rPr>
                <w:color w:val="000000"/>
                <w:sz w:val="22"/>
              </w:rPr>
              <w:t>satisfactory to Party A and its counsel</w:t>
            </w:r>
          </w:p>
        </w:tc>
        <w:tc>
          <w:tcPr>
            <w:tcW w:w="1926" w:type="dxa"/>
            <w:tcBorders/>
          </w:tcPr>
          <w:p>
            <w:pPr>
              <w:pStyle w:val="Normal"/>
              <w:spacing w:lineRule="atLeast" w:line="240" w:before="240" w:after="0"/>
              <w:jc w:val="both"/>
              <w:rPr>
                <w:sz w:val="22"/>
              </w:rPr>
            </w:pPr>
            <w:r>
              <w:rPr>
                <w:sz w:val="22"/>
              </w:rPr>
              <w:t>Within 30 days after execution of the Master Agreement</w:t>
            </w:r>
          </w:p>
        </w:tc>
        <w:tc>
          <w:tcPr>
            <w:tcW w:w="2340"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modify the parenthetical phrase appearing in the second and third lines thereof to read:  “(except that a notice or other communication under Section 5 or 6 (i) may be given by facsimile transmission effective in accordance with this Section 12 if also sent in writing and delivered in person or by courier and (ii) may not be given by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3780"/>
        <w:gridCol w:w="360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378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James Hardie Australia Finance Pty.</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Limited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26300 La Alameda, Suite 100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Mission Viejo, California  92691</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Phillip G. Morley</w:t>
            </w:r>
          </w:p>
        </w:tc>
        <w:tc>
          <w:tcPr>
            <w:tcW w:w="3600" w:type="dxa"/>
            <w:tcBorders/>
          </w:tcPr>
          <w:p>
            <w:pPr>
              <w:pStyle w:val="Normal"/>
              <w:keepNext w:val="true"/>
              <w:tabs>
                <w:tab w:val="clear" w:pos="720"/>
                <w:tab w:val="left" w:pos="2952" w:leader="none"/>
                <w:tab w:val="left" w:pos="4230" w:leader="none"/>
                <w:tab w:val="left" w:pos="9360" w:leader="none"/>
              </w:tabs>
              <w:spacing w:lineRule="exact" w:line="240"/>
              <w:ind w:start="72" w:end="0"/>
              <w:rPr>
                <w:sz w:val="22"/>
              </w:rPr>
            </w:pPr>
            <w:r>
              <w:rPr>
                <w:sz w:val="22"/>
              </w:rPr>
              <w:t>Facsimile No.:  (949) 348-4534</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(949) 348-1800</w:t>
            </w:r>
          </w:p>
        </w:tc>
      </w:tr>
      <w:tr>
        <w:trPr/>
        <w:tc>
          <w:tcPr>
            <w:tcW w:w="2178" w:type="dxa"/>
            <w:tcBorders/>
          </w:tcPr>
          <w:p>
            <w:pPr>
              <w:pStyle w:val="Normal"/>
              <w:keepNext w:val="true"/>
              <w:tabs>
                <w:tab w:val="clear" w:pos="720"/>
                <w:tab w:val="left" w:pos="2880" w:leader="none"/>
                <w:tab w:val="left" w:pos="4320" w:leader="none"/>
                <w:tab w:val="left" w:pos="9360" w:leader="none"/>
              </w:tabs>
              <w:snapToGrid w:val="false"/>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With a copy to: </w:t>
            </w:r>
          </w:p>
          <w:p>
            <w:pPr>
              <w:pStyle w:val="Normal"/>
              <w:keepNext w:val="true"/>
              <w:tabs>
                <w:tab w:val="clear" w:pos="720"/>
                <w:tab w:val="left" w:pos="288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left" w:pos="720" w:leader="none"/>
                <w:tab w:val="right" w:pos="9360" w:leader="dot"/>
              </w:tabs>
              <w:spacing w:lineRule="exact" w:line="240"/>
              <w:jc w:val="both"/>
              <w:rPr>
                <w:sz w:val="22"/>
              </w:rPr>
            </w:pPr>
            <w:r>
              <w:rPr>
                <w:sz w:val="22"/>
              </w:rPr>
            </w:r>
          </w:p>
        </w:tc>
        <w:tc>
          <w:tcPr>
            <w:tcW w:w="3780" w:type="dxa"/>
            <w:tcBorders/>
          </w:tcPr>
          <w:p>
            <w:pPr>
              <w:pStyle w:val="Normal"/>
              <w:keepNext w:val="true"/>
              <w:tabs>
                <w:tab w:val="clear" w:pos="720"/>
                <w:tab w:val="left" w:pos="3762" w:leader="none"/>
                <w:tab w:val="left" w:pos="4230" w:leader="none"/>
                <w:tab w:val="left" w:pos="9360" w:leader="none"/>
              </w:tabs>
              <w:snapToGrid w:val="false"/>
              <w:spacing w:lineRule="exact" w:line="240"/>
              <w:jc w:val="both"/>
              <w:rPr>
                <w:sz w:val="22"/>
              </w:rPr>
            </w:pPr>
            <w:r>
              <w:rPr>
                <w:sz w:val="22"/>
              </w:rPr>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James Hardie Australia Finance Pty.</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Limited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65 York Street</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Sydney NSW  2000 Australia</w:t>
            </w:r>
          </w:p>
          <w:p>
            <w:pPr>
              <w:pStyle w:val="Justified"/>
              <w:keepNext w:val="true"/>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Don Cameron</w:t>
            </w:r>
          </w:p>
        </w:tc>
        <w:tc>
          <w:tcPr>
            <w:tcW w:w="3600" w:type="dxa"/>
            <w:tcBorders/>
          </w:tcPr>
          <w:p>
            <w:pPr>
              <w:pStyle w:val="Normal"/>
              <w:keepNext w:val="true"/>
              <w:tabs>
                <w:tab w:val="clear" w:pos="720"/>
                <w:tab w:val="left" w:pos="2952" w:leader="none"/>
                <w:tab w:val="left" w:pos="4230" w:leader="none"/>
                <w:tab w:val="left" w:pos="9360" w:leader="none"/>
              </w:tabs>
              <w:snapToGrid w:val="false"/>
              <w:spacing w:lineRule="exact" w:line="240"/>
              <w:ind w:start="72" w:end="0"/>
              <w:jc w:val="both"/>
              <w:rPr>
                <w:rFonts w:ascii="Times New Roman" w:hAnsi="Times New Roman" w:cs="Times New Roman"/>
                <w:sz w:val="22"/>
              </w:rPr>
            </w:pPr>
            <w:r>
              <w:rPr>
                <w:rFonts w:cs="Times New Roman"/>
                <w:sz w:val="22"/>
              </w:rPr>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011-612-9262-5758</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011-612-9290-5269</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with respect to Party A, Guaranty dated as of the date hereof by Enron Corp. in favor of Party B as beneficiary thereof in the form attached hereto as </w:t>
      </w:r>
      <w:r>
        <w:rPr>
          <w:sz w:val="22"/>
          <w:u w:val="single"/>
        </w:rPr>
        <w:t>Exhibit A</w:t>
      </w:r>
      <w:r>
        <w:rPr>
          <w:sz w:val="22"/>
        </w:rPr>
        <w:t xml:space="preserve">, (ii) with respect to Party B, Guaranty dated as of the date hereof by James Hardie N.V. in favor of Party A as the beneficiary thereof in the form attached hereto as </w:t>
      </w:r>
      <w:r>
        <w:rPr>
          <w:sz w:val="22"/>
          <w:u w:val="single"/>
        </w:rPr>
        <w:t>Exhibit B</w:t>
      </w:r>
      <w:r>
        <w:rPr>
          <w:sz w:val="22"/>
        </w:rPr>
        <w:t xml:space="preserve"> and (iii) with respect to Party A and Party B,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James Hardie N.V.</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ten Local Business Days after it was effectively sent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(m)</w:t>
        <w:tab/>
      </w:r>
      <w:r>
        <w:rPr>
          <w:b/>
          <w:sz w:val="22"/>
        </w:rPr>
        <w:t>Escrow.</w:t>
      </w:r>
      <w:r>
        <w:rPr>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Header"/>
        <w:widowControl/>
        <w:rPr>
          <w:color w:val="000000"/>
          <w:sz w:val="22"/>
        </w:rPr>
      </w:pPr>
      <w:r>
        <w:rPr>
          <w:color w:val="000000"/>
          <w:sz w:val="22"/>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rPr>
            </w:pPr>
            <w:r>
              <w:rPr>
                <w:color w:val="000000"/>
                <w:sz w:val="22"/>
              </w:rPr>
              <w:t>Name:</w:t>
              <w:tab/>
            </w:r>
            <w:r>
              <w:rPr>
                <w:color w:val="000000"/>
                <w:sz w:val="22"/>
                <w:u w:val="single"/>
              </w:rPr>
              <w:tab/>
              <w:tab/>
              <w:tab/>
              <w:tab/>
              <w:tab/>
            </w:r>
          </w:p>
          <w:p>
            <w:pPr>
              <w:pStyle w:val="Normal"/>
              <w:keepNext w:val="true"/>
              <w:tabs>
                <w:tab w:val="clear" w:pos="720"/>
                <w:tab w:val="left" w:pos="4320" w:leader="none"/>
              </w:tabs>
              <w:spacing w:lineRule="exact" w:line="240"/>
              <w:jc w:val="both"/>
              <w:rPr>
                <w:color w:val="000000"/>
                <w:sz w:val="22"/>
              </w:rPr>
            </w:pPr>
            <w:r>
              <w:rPr>
                <w:color w:val="000000"/>
                <w:sz w:val="22"/>
              </w:rPr>
              <w:t xml:space="preserve">Title:    </w:t>
            </w:r>
            <w:r>
              <w:rPr>
                <w:color w:val="000000"/>
                <w:sz w:val="22"/>
                <w:u w:val="single"/>
              </w:rPr>
              <w:tab/>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jc w:val="both"/>
              <w:rPr>
                <w:b/>
                <w:color w:val="000000"/>
                <w:sz w:val="22"/>
              </w:rPr>
            </w:pPr>
            <w:r>
              <w:rPr>
                <w:b/>
                <w:color w:val="000000"/>
                <w:sz w:val="22"/>
              </w:rPr>
              <w:t>JAMES HARDIE AUSTRALIA FINANCE</w:t>
            </w:r>
          </w:p>
          <w:p>
            <w:pPr>
              <w:pStyle w:val="Normal"/>
              <w:keepNext w:val="true"/>
              <w:spacing w:lineRule="exact" w:line="240"/>
              <w:jc w:val="both"/>
              <w:rPr>
                <w:color w:val="000000"/>
                <w:sz w:val="22"/>
              </w:rPr>
            </w:pPr>
            <w:r>
              <w:rPr>
                <w:b/>
                <w:color w:val="000000"/>
                <w:sz w:val="22"/>
              </w:rPr>
              <w:t>PTY. LIMITED</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rPr>
              <w:t>Title:</w:t>
              <w:tab/>
              <w:t>[Managing Director]</w:t>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B</w:t>
        <w:tab/>
        <w:t>FORM OF GUARANTY (PARTY B)</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828" w:type="dxa"/>
        <w:jc w:val="start"/>
        <w:tblInd w:w="0" w:type="dxa"/>
        <w:tblLayout w:type="fixed"/>
        <w:tblCellMar>
          <w:top w:w="0" w:type="dxa"/>
          <w:start w:w="108" w:type="dxa"/>
          <w:bottom w:w="0" w:type="dxa"/>
          <w:end w:w="108" w:type="dxa"/>
        </w:tblCellMar>
      </w:tblPr>
      <w:tblGrid>
        <w:gridCol w:w="4968"/>
        <w:gridCol w:w="4860"/>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860" w:type="dxa"/>
            <w:tcBorders/>
          </w:tcPr>
          <w:p>
            <w:pPr>
              <w:pStyle w:val="Normal"/>
              <w:tabs>
                <w:tab w:val="clear" w:pos="720"/>
                <w:tab w:val="center" w:pos="5760" w:leader="none"/>
              </w:tabs>
              <w:spacing w:before="240" w:after="0"/>
              <w:jc w:val="center"/>
              <w:rPr>
                <w:b/>
                <w:color w:val="000000"/>
                <w:sz w:val="22"/>
              </w:rPr>
            </w:pPr>
            <w:r>
              <w:rPr>
                <w:b/>
                <w:sz w:val="22"/>
              </w:rPr>
              <w:t>JAMES HARDIE AUSTRALIA FINANCE PTY. LIMITED, ACN ____________, a corporation organized under the law of Australia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$100,000 </w:t>
      </w:r>
      <w:r>
        <w:rPr>
          <w:sz w:val="22"/>
        </w:rPr>
        <w:t xml:space="preserve">and the Return Amount will be rounded down to the nearest integral multiple of U.S. </w:t>
      </w:r>
      <w:r>
        <w:rPr>
          <w:color w:val="000000"/>
          <w:sz w:val="22"/>
        </w:rPr>
        <w:t>$100,000.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rPr>
      </w:pPr>
      <w:r>
        <w:rPr>
          <w:sz w:val="22"/>
        </w:rPr>
        <w:t>(iv)  The provisions of Paragraph 5(i)(B) are hereby amended by inserting the following immediately before the word “and” in line 5 thereof:</w:t>
      </w:r>
    </w:p>
    <w:p>
      <w:pPr>
        <w:pStyle w:val="Normal"/>
        <w:spacing w:before="240" w:after="0"/>
        <w:ind w:start="720" w:end="0"/>
        <w:jc w:val="both"/>
        <w:rPr>
          <w:sz w:val="22"/>
        </w:rPr>
      </w:pPr>
      <w:r>
        <w:rPr>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a Material Adverse Change has not occurred with respect to Party B.</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Normal"/>
        <w:ind w:start="720" w:end="0"/>
        <w:jc w:val="both"/>
        <w:rPr>
          <w:color w:val="FF0000"/>
          <w:sz w:val="22"/>
        </w:rPr>
      </w:pPr>
      <w:r>
        <w:rPr>
          <w:color w:val="FF0000"/>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Overnight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pPr>
      <w:r>
        <w:rPr>
          <w:sz w:val="22"/>
        </w:rPr>
        <w:t>(A)  If the provisions of Paragraph 6(c) do not apply to a party as a result of a Credit Rating Event described in Paragraph 13(g)(ii)</w:t>
      </w:r>
      <w:r>
        <w:rPr>
          <w:rStyle w:val="FootnoteCharacters"/>
          <w:color w:val="FF0000"/>
          <w:sz w:val="22"/>
        </w:rPr>
        <w:t xml:space="preserve"> </w:t>
      </w:r>
      <w:r>
        <w:rPr>
          <w:color w:val="000000"/>
          <w:sz w:val="22"/>
        </w:rPr>
        <w:t xml:space="preserve">, </w:t>
      </w:r>
      <w:r>
        <w:rPr>
          <w:sz w:val="22"/>
        </w:rPr>
        <w:t>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Capital Lease”</w:t>
      </w:r>
      <w:r>
        <w:rPr>
          <w:sz w:val="22"/>
        </w:rPr>
        <w:t xml:space="preserve"> means, at any time, a lease with respect to which the lessee is required concurrently to recognize the acquisition of an asset and the incurrence of a liability in accordance with GAAP.</w:t>
      </w:r>
    </w:p>
    <w:p>
      <w:pPr>
        <w:pStyle w:val="Normal"/>
        <w:ind w:start="720" w:end="0"/>
        <w:jc w:val="both"/>
        <w:rPr>
          <w:b/>
          <w:sz w:val="22"/>
        </w:rPr>
      </w:pPr>
      <w:r>
        <w:rPr>
          <w:b/>
          <w:sz w:val="22"/>
        </w:rPr>
      </w:r>
    </w:p>
    <w:p>
      <w:pPr>
        <w:pStyle w:val="Normal"/>
        <w:ind w:start="720" w:end="0"/>
        <w:jc w:val="both"/>
        <w:rPr/>
      </w:pPr>
      <w:r>
        <w:rPr>
          <w:b/>
          <w:sz w:val="22"/>
        </w:rPr>
        <w:t>“</w:t>
      </w:r>
      <w:r>
        <w:rPr>
          <w:b/>
          <w:sz w:val="22"/>
        </w:rPr>
        <w:t>Capital Lease Obligation”</w:t>
      </w:r>
      <w:r>
        <w:rPr>
          <w:sz w:val="22"/>
        </w:rPr>
        <w:t xml:space="preserve"> means, with respect to any Person and a Capital Lease, the amount of the obligation of such Person as the lessee under such Capital Lease which would, in accordance with GAAP, appear as a liability on a balance sheet of such Person.</w:t>
      </w:r>
    </w:p>
    <w:p>
      <w:pPr>
        <w:pStyle w:val="Normal"/>
        <w:ind w:start="720" w:end="0"/>
        <w:jc w:val="both"/>
        <w:rPr>
          <w:b/>
          <w:sz w:val="22"/>
        </w:rPr>
      </w:pPr>
      <w:r>
        <w:rPr>
          <w:b/>
          <w:sz w:val="22"/>
        </w:rPr>
      </w:r>
    </w:p>
    <w:p>
      <w:pPr>
        <w:pStyle w:val="Normal"/>
        <w:ind w:start="720" w:end="0"/>
        <w:jc w:val="both"/>
        <w:rPr/>
      </w:pPr>
      <w:r>
        <w:rPr>
          <w:b/>
          <w:sz w:val="22"/>
        </w:rPr>
        <w:t>“</w:t>
      </w:r>
      <w:r>
        <w:rPr>
          <w:b/>
          <w:sz w:val="22"/>
        </w:rPr>
        <w:t>Compliance Certificate”</w:t>
      </w:r>
      <w:r>
        <w:rPr>
          <w:sz w:val="22"/>
        </w:rPr>
        <w:t xml:space="preserve"> shall mean a certificate of a Senior Financial Officer of Party B setting forth the information (including detailed calculations) required in order to establish whether the Obligors were in compliance with the requirements of paragraphs (a), (b), (c) and (d) of clause 17.3 of the Standby Loan Agreement, during the quarterly or annual period covered by the statements then being furnished (including with respect to each such paragraph, where applicable, the calculations of the maximum or minimum amount, ratio or percentage, as the case may be, permissible under the terms of such paragraphs, and the calculation of the amount, ratio or percentage then in existence), together with a statement that such officer has reviewed the relevant terms of the Standby Loan Agreement and has made, or has caused to be made, under his or her supervision, a review of the transactions and conditions of the Obligors and each Subsidiary from the beginning of the quarterly or annual period covered by the statements then being furnished to the date of the certificate and that such review shall not have disclosed the existence during such period of any condition or event that constitutes a Default or an Event of Default (as such terms are defined in the Standby Loan Agreement) under the Standby Loan Agreement or, if any such condition or event existed or exists (including any such event or condition resulting from the failure of any Obligor or any Subsidiary to comply with any Environmental Law (as such term is defined in the Standby Loan Agreement)), specifying the nature and period of existence thereof and what action each Obligor shall have taken or proposes to take with respect thereto.</w:t>
      </w:r>
    </w:p>
    <w:p>
      <w:pPr>
        <w:pStyle w:val="Normal"/>
        <w:ind w:start="720" w:end="0"/>
        <w:jc w:val="both"/>
        <w:rPr>
          <w:sz w:val="22"/>
        </w:rPr>
      </w:pPr>
      <w:r>
        <w:rPr>
          <w:sz w:val="22"/>
        </w:rPr>
      </w:r>
    </w:p>
    <w:p>
      <w:pPr>
        <w:pStyle w:val="Normal"/>
        <w:ind w:start="720" w:end="0"/>
        <w:jc w:val="both"/>
        <w:rPr/>
      </w:pPr>
      <w:r>
        <w:rPr>
          <w:b/>
          <w:sz w:val="22"/>
        </w:rPr>
        <w:t>“</w:t>
      </w:r>
      <w:r>
        <w:rPr>
          <w:b/>
          <w:sz w:val="22"/>
        </w:rPr>
        <w:t>Consolidated Funded Capitalization”</w:t>
      </w:r>
      <w:r>
        <w:rPr>
          <w:sz w:val="22"/>
        </w:rPr>
        <w:t xml:space="preserve"> means, at any time, the sum of Consolidated Net Worth and Consolidated Funded Debt.</w:t>
      </w:r>
    </w:p>
    <w:p>
      <w:pPr>
        <w:pStyle w:val="Normal"/>
        <w:ind w:start="720" w:end="0"/>
        <w:jc w:val="both"/>
        <w:rPr>
          <w:b/>
          <w:sz w:val="22"/>
        </w:rPr>
      </w:pPr>
      <w:r>
        <w:rPr>
          <w:b/>
          <w:sz w:val="22"/>
        </w:rPr>
      </w:r>
    </w:p>
    <w:p>
      <w:pPr>
        <w:pStyle w:val="Normal"/>
        <w:ind w:start="720" w:end="0"/>
        <w:jc w:val="both"/>
        <w:rPr/>
      </w:pPr>
      <w:r>
        <w:rPr>
          <w:b/>
          <w:sz w:val="22"/>
        </w:rPr>
        <w:t>“</w:t>
      </w:r>
      <w:r>
        <w:rPr>
          <w:b/>
          <w:sz w:val="22"/>
        </w:rPr>
        <w:t>Consolidated Funded Debt”</w:t>
      </w:r>
      <w:r>
        <w:rPr>
          <w:sz w:val="22"/>
        </w:rPr>
        <w:t xml:space="preserve"> means, as of any date of determination, the total of all Funded Debt of the Credit Support Provider and its Subsidiaries outstanding on such date, after eliminating all offsetting debits and credits between any of the Credit Support Provider and its Subsidiaries and all other items required to be eliminated in the course of the preparation of consolidated financial statements of the Credit Support Provider and its Subsidiaries in accordance with GAAP.</w:t>
      </w:r>
    </w:p>
    <w:p>
      <w:pPr>
        <w:pStyle w:val="Normal"/>
        <w:ind w:start="720" w:end="0"/>
        <w:jc w:val="both"/>
        <w:rPr>
          <w:b/>
          <w:sz w:val="22"/>
        </w:rPr>
      </w:pPr>
      <w:r>
        <w:rPr>
          <w:b/>
          <w:sz w:val="22"/>
        </w:rPr>
      </w:r>
    </w:p>
    <w:p>
      <w:pPr>
        <w:pStyle w:val="Normal"/>
        <w:ind w:start="720" w:end="0"/>
        <w:jc w:val="both"/>
        <w:rPr/>
      </w:pPr>
      <w:r>
        <w:rPr>
          <w:b/>
          <w:sz w:val="22"/>
        </w:rPr>
        <w:t>“</w:t>
      </w:r>
      <w:r>
        <w:rPr>
          <w:b/>
          <w:sz w:val="22"/>
        </w:rPr>
        <w:t>Consolidated Net Worth”</w:t>
      </w:r>
      <w:r>
        <w:rPr>
          <w:sz w:val="22"/>
        </w:rPr>
        <w:t xml:space="preserve"> means, at any time, the sum of:  (a) the par value (or value stated on the books of the corporation) of the capital stock (but excluding treasury stock and capital stock subscribed and unissued) of the Credit Support Provider and its Subsidiaries; and (b) the amount of the paid-in capital and retained earnings of the Credit Support Provider and its Subsidiaries, in each case as such amounts would be shown on a consolidated balance sheet of the Credit Support Provider and its Subsidiaries as of such time prepared in accordance with GAAP.</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b/>
          <w:sz w:val="22"/>
        </w:rPr>
      </w:pPr>
      <w:r>
        <w:rPr>
          <w:b/>
          <w:sz w:val="22"/>
        </w:rPr>
      </w:r>
    </w:p>
    <w:p>
      <w:pPr>
        <w:pStyle w:val="Normal"/>
        <w:ind w:start="720" w:end="0"/>
        <w:jc w:val="both"/>
        <w:rPr/>
      </w:pPr>
      <w:r>
        <w:rPr>
          <w:b/>
          <w:sz w:val="22"/>
        </w:rPr>
        <w:t>“</w:t>
      </w:r>
      <w:r>
        <w:rPr>
          <w:b/>
          <w:sz w:val="22"/>
        </w:rPr>
        <w:t>Debt”</w:t>
      </w:r>
      <w:r>
        <w:rPr>
          <w:sz w:val="22"/>
        </w:rPr>
        <w:t xml:space="preserve"> means, with respect to any Person, without duplication, (a) its liabilities for borrowed money (including all liabilities in respect of letters of credit, (excluding letters of credit and performance guarantees posted in respect of payment of accounts payable arising in the ordinary course of business) or instruments serving a similar function issued or accepted for its account by banks and other financial institutions); (b) its liabilities for the deferred purchase price of property acquired by such Person (excluding accounts payable arising in the ordinary course of business but including all liabilities created or arising under any conditional sale or other title retention agreement with respect to any such property); (c) its Capital Lease Obligations; (d) all liabilities for borrowed money secured by any Lien with respect to any property owned by such Person (whether or not it has assumed or otherwise become liable for such liabilities); (e) all Preferred Stock of Subsidiaries of such Person which is not owned by such Person or a Wholly-Owned Subsidiary of such Person; and (f) any Guaranty of such Person with respect to liabilities of a type described in any of paragraphs (a) to (e) of this definition.  Debt of any Person shall include all obligations of such Person of the character described in paragraphs (a) to (f) to the extent such Person remains legally liable in respect thereof notwithstanding that any such obligation is deemed to be extinguished under GAAP.</w:t>
      </w:r>
    </w:p>
    <w:p>
      <w:pPr>
        <w:pStyle w:val="Normal"/>
        <w:ind w:start="720" w:end="0"/>
        <w:jc w:val="both"/>
        <w:rPr>
          <w:sz w:val="22"/>
        </w:rPr>
      </w:pPr>
      <w:r>
        <w:rPr>
          <w:sz w:val="22"/>
        </w:rPr>
      </w:r>
    </w:p>
    <w:p>
      <w:pPr>
        <w:pStyle w:val="BodyText"/>
        <w:ind w:start="720" w:end="0"/>
        <w:jc w:val="both"/>
        <w:rPr/>
      </w:pPr>
      <w:r>
        <w:rPr>
          <w:b/>
        </w:rPr>
        <w:t>“</w:t>
      </w:r>
      <w:r>
        <w:rPr>
          <w:b/>
        </w:rPr>
        <w:t>EBIT”</w:t>
      </w:r>
      <w:r>
        <w:rPr/>
        <w:t xml:space="preserve"> means the operating profit of the Credit Support Provider and its Subsidiaries before adjustments for abnormal or exceptional items and income tax but after adding back Net Interest Charges, determined in each case by reference to the latest audited consolidated financial statements of the Credit Support Provider and its Subsidiaries delivered to Wells Fargo HSBC Trade Bank, N.A. under clause 18.1(b) of the Standby Loan Agreement.</w:t>
      </w:r>
    </w:p>
    <w:p>
      <w:pPr>
        <w:pStyle w:val="Normal"/>
        <w:ind w:start="720" w:end="0"/>
        <w:jc w:val="both"/>
        <w:rPr>
          <w:sz w:val="22"/>
        </w:rPr>
      </w:pPr>
      <w:r>
        <w:rPr>
          <w:sz w:val="22"/>
        </w:rPr>
      </w:r>
    </w:p>
    <w:p>
      <w:pPr>
        <w:pStyle w:val="Normal"/>
        <w:ind w:start="720" w:end="0"/>
        <w:jc w:val="both"/>
        <w:rPr/>
      </w:pPr>
      <w:r>
        <w:rPr>
          <w:b/>
          <w:sz w:val="22"/>
        </w:rPr>
        <w:t>“</w:t>
      </w:r>
      <w:r>
        <w:rPr>
          <w:b/>
          <w:sz w:val="22"/>
        </w:rPr>
        <w:t>Federal Funds Overnight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spacing w:lineRule="atLeast" w:line="240"/>
        <w:ind w:start="720" w:end="144"/>
        <w:jc w:val="both"/>
        <w:rPr/>
      </w:pPr>
      <w:r>
        <w:rPr>
          <w:b/>
          <w:sz w:val="22"/>
        </w:rPr>
        <w:t>“</w:t>
      </w:r>
      <w:r>
        <w:rPr>
          <w:b/>
          <w:sz w:val="22"/>
        </w:rPr>
        <w:t>Funded Debt”</w:t>
      </w:r>
      <w:r>
        <w:rPr>
          <w:sz w:val="22"/>
        </w:rPr>
        <w:t xml:space="preserve"> means, with respect to any Person, all Debt of such Person which by its terms or by the terms of any instrument or agreement relating thereto matures, or which is otherwise payable or unpaid, one year or more from the date of the creation thereof, and shall include as of any date of determination the lowest average monthly balance outstanding under Party B’s revolving or standby credit facilities in the 12 month period immediately preceding the date of determination.</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w:t>
      </w:r>
      <w:r>
        <w:rPr>
          <w:b/>
          <w:sz w:val="22"/>
        </w:rPr>
        <w:t>GAAP”</w:t>
      </w:r>
      <w:r>
        <w:rPr>
          <w:sz w:val="22"/>
        </w:rPr>
        <w:t xml:space="preserve"> means (a) generally accepted accounting principles as in effect from time to time in the United States of America; or (b) in relation to a company incorporated in Australia, accounting principles and practices applying by law or otherwise generally accepted in Australia, consistently applied.</w:t>
      </w:r>
    </w:p>
    <w:p>
      <w:pPr>
        <w:pStyle w:val="Normal"/>
        <w:spacing w:lineRule="atLeast" w:line="240"/>
        <w:ind w:start="720" w:end="0"/>
        <w:jc w:val="both"/>
        <w:rPr>
          <w:b/>
          <w:sz w:val="22"/>
        </w:rPr>
      </w:pPr>
      <w:r>
        <w:rPr>
          <w:b/>
          <w:sz w:val="22"/>
        </w:rPr>
      </w:r>
    </w:p>
    <w:p>
      <w:pPr>
        <w:pStyle w:val="Normal"/>
        <w:spacing w:lineRule="atLeast" w:line="240"/>
        <w:ind w:start="720" w:end="0"/>
        <w:jc w:val="both"/>
        <w:rPr/>
      </w:pPr>
      <w:r>
        <w:rPr>
          <w:b/>
          <w:sz w:val="22"/>
        </w:rPr>
        <w:t>“</w:t>
      </w:r>
      <w:r>
        <w:rPr>
          <w:b/>
          <w:sz w:val="22"/>
        </w:rPr>
        <w:t>Guaranty”</w:t>
      </w:r>
      <w:r>
        <w:rPr>
          <w:sz w:val="22"/>
        </w:rPr>
        <w:t xml:space="preserve"> means, with respect to any Person, any obligation (except the endorsement in the ordinary course of business of negotiable instruments for deposit or collection) of such Person guaranteeing or in effect guaranteeing any indebtedness, dividend or other obligation of any other Person in any manner, whether directly or indirectly, including obligations incurred through an agreement, contingent or otherwise, by such Person (a) to purchase such indebtedness or obligation or any property constituting security therefor; (b) to advance or supply funds (i) for the purchase or payment of such indebtedness or obligation, or (ii) to maintain any working capital or other balance sheet condition or any income statement condition of any other Person or otherwise to advance or make available funds for the purchase or payment of such indebtedness or obligation; (c) to lease properties or to purchase properties or services primarily for the purpose of assuring the owner of such indebtedness or obligation of the ability of any other Person to make payment of the indebtedness or obligation; or (d) otherwise to assure the owner of such indebtedness or obligation against loss in respect thereof.  In any computation of the indebtedness or other liabilities of the obligor under any Guaranty, the indebtedness or other obligations that are the subject of such Guaranty shall be assumed to be direct obligations of such obligor.</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Lien”</w:t>
      </w:r>
      <w:r>
        <w:rPr>
          <w:sz w:val="22"/>
        </w:rPr>
        <w:t xml:space="preserve"> means, with respect to any Person, any mortgage, lien, pledge, charge, security interest or other encumbrance, or any interest or title of any vendor, lessor, lender or other secured party to or of such Person under any conditional sale or other title retention agreement or Capital Lease, upon or with respect to any property or asset of such Person (including in the case of stock, stockholder agreements, voting trust agreements and all similar arrangements).</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Support Provider shall have any of the following occur at any time:  (i) its Consolidated Net Worth falls below (A) U.S. $250,000,000 for the year ending March 31, 1999, (B) U.S. $275,000,000 for the year ending March 31, 2000, (C) U.S. $300,000,000 for the year ending March 31, 2001 and (D) U.S. $320,000,000 for each year after that; (ii) the ratio of its Consolidated Funded Debt to Consolidated Funded Capitalization does not exceed (A) 60% in the year ending March 31, 1999 and (B) 55% for each year after that; (iii) the Credit Support Provider at any time permits the aggregate amount of Secured Debt of the Credit Support Provider and its Subsidiaries (excluding Debt owing to the Credit Support Provider or a Wholly-Owned Subsidiary) to exceed 20% of Consolidated Net Worth; or (iv) EBIT is less than twice Net Interest Charges in any year ending March 31.</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Heading2"/>
        <w:ind w:hanging="0" w:start="720" w:end="0"/>
        <w:rPr/>
      </w:pPr>
      <w:r>
        <w:rPr>
          <w:rFonts w:cs="Times New Roman" w:ascii="Times New Roman" w:hAnsi="Times New Roman"/>
          <w:b/>
          <w:sz w:val="22"/>
        </w:rPr>
        <w:t>“</w:t>
      </w:r>
      <w:r>
        <w:rPr>
          <w:rFonts w:cs="Times New Roman" w:ascii="Times New Roman" w:hAnsi="Times New Roman"/>
          <w:b/>
          <w:sz w:val="22"/>
        </w:rPr>
        <w:t>Net Interest Charges”</w:t>
      </w:r>
      <w:r>
        <w:rPr>
          <w:rFonts w:cs="Times New Roman" w:ascii="Times New Roman" w:hAnsi="Times New Roman"/>
          <w:sz w:val="22"/>
        </w:rPr>
        <w:t xml:space="preserve"> means all continuing, regular or periodic costs, charges and expenses (including interest, discount costs, charges and expenses (including but not limited to interest, discount costs and any and all fees associated with or incurred under any Debt) incurred by the Credit Support Provider and any of its Subsidiaries in effecting, servicing or maintaining at any time its Debt, less interest income received by or arising to the Credit Support Provider or such Subsidiaries in the same period for which such Net Interest Charges are being determined, in each case by reference to the financial statements referred to in clause 18.1 of the Standby Loan Agreement.</w:t>
      </w:r>
    </w:p>
    <w:p>
      <w:pPr>
        <w:pStyle w:val="Heading2"/>
        <w:ind w:hanging="0" w:start="720" w:end="0"/>
        <w:rPr/>
      </w:pPr>
      <w:r>
        <w:rPr>
          <w:rFonts w:cs="Times New Roman" w:ascii="Times New Roman" w:hAnsi="Times New Roman"/>
          <w:b/>
          <w:sz w:val="22"/>
        </w:rPr>
        <w:t>“</w:t>
      </w:r>
      <w:r>
        <w:rPr>
          <w:rFonts w:cs="Times New Roman" w:ascii="Times New Roman" w:hAnsi="Times New Roman"/>
          <w:b/>
          <w:sz w:val="22"/>
        </w:rPr>
        <w:t>Obligors”</w:t>
      </w:r>
      <w:r>
        <w:rPr>
          <w:rFonts w:cs="Times New Roman" w:ascii="Times New Roman" w:hAnsi="Times New Roman"/>
          <w:sz w:val="22"/>
        </w:rPr>
        <w:t xml:space="preserve"> shall mean James Hardie Finance B.V., James Hardie N.V. and James Hardie Aust. Investco Pty Ltd., and </w:t>
      </w:r>
      <w:r>
        <w:rPr>
          <w:rFonts w:cs="Times New Roman" w:ascii="Times New Roman" w:hAnsi="Times New Roman"/>
          <w:b/>
          <w:sz w:val="22"/>
        </w:rPr>
        <w:t>“Obligor”</w:t>
      </w:r>
      <w:r>
        <w:rPr>
          <w:rFonts w:cs="Times New Roman" w:ascii="Times New Roman" w:hAnsi="Times New Roman"/>
          <w:sz w:val="22"/>
        </w:rPr>
        <w:t xml:space="preserve"> shall mean each of the Obligors individually.</w:t>
      </w:r>
    </w:p>
    <w:p>
      <w:pPr>
        <w:pStyle w:val="Normal"/>
        <w:ind w:start="720" w:end="0"/>
        <w:jc w:val="both"/>
        <w:rPr/>
      </w:pPr>
      <w:r>
        <w:rPr>
          <w:b/>
          <w:sz w:val="22"/>
        </w:rPr>
        <w:t>“</w:t>
      </w:r>
      <w:r>
        <w:rPr>
          <w:b/>
          <w:sz w:val="22"/>
        </w:rPr>
        <w:t>Person”</w:t>
      </w:r>
      <w:r>
        <w:rPr>
          <w:sz w:val="22"/>
        </w:rPr>
        <w:t xml:space="preserve"> means an individual, partnership, corporation, limited liability company, association, trust, unincorporated organization, or a government or agency or political subdivision thereof.</w:t>
      </w:r>
    </w:p>
    <w:p>
      <w:pPr>
        <w:pStyle w:val="Normal"/>
        <w:ind w:start="720" w:end="0"/>
        <w:jc w:val="both"/>
        <w:rPr>
          <w:b/>
          <w:sz w:val="22"/>
        </w:rPr>
      </w:pPr>
      <w:r>
        <w:rPr>
          <w:b/>
          <w:sz w:val="22"/>
        </w:rPr>
      </w:r>
    </w:p>
    <w:p>
      <w:pPr>
        <w:pStyle w:val="Normal"/>
        <w:ind w:start="720" w:end="0"/>
        <w:jc w:val="both"/>
        <w:rPr/>
      </w:pPr>
      <w:r>
        <w:rPr>
          <w:b/>
          <w:sz w:val="22"/>
        </w:rPr>
        <w:t>“</w:t>
      </w:r>
      <w:r>
        <w:rPr>
          <w:b/>
          <w:sz w:val="22"/>
        </w:rPr>
        <w:t>Preferred Stock”</w:t>
      </w:r>
      <w:r>
        <w:rPr>
          <w:sz w:val="22"/>
        </w:rPr>
        <w:t xml:space="preserve"> means any class of capital stock of a corporation that is preferred over any other class of capital stock of such corporation as to payment of dividends or the payment of any amount upon liquidation or dissolution of such Person.</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start="720" w:end="0"/>
        <w:jc w:val="both"/>
        <w:rPr>
          <w:b/>
          <w:sz w:val="22"/>
        </w:rPr>
      </w:pPr>
      <w:r>
        <w:rPr>
          <w:b/>
          <w:sz w:val="22"/>
        </w:rPr>
      </w:r>
    </w:p>
    <w:p>
      <w:pPr>
        <w:pStyle w:val="Normal"/>
        <w:ind w:start="720" w:end="0"/>
        <w:jc w:val="both"/>
        <w:rPr/>
      </w:pPr>
      <w:r>
        <w:rPr>
          <w:b/>
          <w:sz w:val="22"/>
        </w:rPr>
        <w:t>“</w:t>
      </w:r>
      <w:r>
        <w:rPr>
          <w:b/>
          <w:sz w:val="22"/>
        </w:rPr>
        <w:t>Secured Debt”</w:t>
      </w:r>
      <w:r>
        <w:rPr>
          <w:sz w:val="22"/>
        </w:rPr>
        <w:t xml:space="preserve"> means, with respect to any Person, any Debt of such Person that is secured in any manner by any Lien on any property.</w:t>
      </w:r>
    </w:p>
    <w:p>
      <w:pPr>
        <w:pStyle w:val="Normal"/>
        <w:ind w:start="720" w:end="0"/>
        <w:jc w:val="both"/>
        <w:rPr>
          <w:sz w:val="22"/>
        </w:rPr>
      </w:pPr>
      <w:r>
        <w:rPr>
          <w:sz w:val="22"/>
        </w:rPr>
      </w:r>
    </w:p>
    <w:p>
      <w:pPr>
        <w:pStyle w:val="Normal"/>
        <w:ind w:start="720" w:end="0"/>
        <w:jc w:val="both"/>
        <w:rPr/>
      </w:pPr>
      <w:r>
        <w:rPr>
          <w:b/>
          <w:sz w:val="22"/>
        </w:rPr>
        <w:t>“</w:t>
      </w:r>
      <w:r>
        <w:rPr>
          <w:b/>
          <w:sz w:val="22"/>
        </w:rPr>
        <w:t>Standby Loan Agreement”</w:t>
      </w:r>
      <w:r>
        <w:rPr>
          <w:sz w:val="22"/>
        </w:rPr>
        <w:t xml:space="preserve"> means that certain Standby Loan Agreement dated July 20, 2000 among Party B, James Hardie N.V., James Hardie U.S. Funding, Inc. and Wells Fargo HSBC Trade Bank, N.A.</w:t>
      </w:r>
    </w:p>
    <w:p>
      <w:pPr>
        <w:pStyle w:val="Normal"/>
        <w:ind w:start="720" w:end="0"/>
        <w:jc w:val="both"/>
        <w:rPr>
          <w:b/>
          <w:sz w:val="22"/>
        </w:rPr>
      </w:pPr>
      <w:r>
        <w:rPr>
          <w:b/>
          <w:sz w:val="22"/>
        </w:rPr>
      </w:r>
    </w:p>
    <w:p>
      <w:pPr>
        <w:pStyle w:val="Normal"/>
        <w:ind w:start="720" w:end="0"/>
        <w:jc w:val="both"/>
        <w:rPr/>
      </w:pPr>
      <w:r>
        <w:rPr>
          <w:b/>
          <w:sz w:val="22"/>
        </w:rPr>
        <w:t>“</w:t>
      </w:r>
      <w:r>
        <w:rPr>
          <w:b/>
          <w:sz w:val="22"/>
        </w:rPr>
        <w:t>Subsidiary”</w:t>
      </w:r>
      <w:r>
        <w:rPr>
          <w:sz w:val="22"/>
        </w:rPr>
        <w:t xml:space="preserve"> means, as to any Person, any corporation, association or other business entity in which such Person or one or more of its Subsidiaries or such Person and one or more of its Subsidiaries owns sufficient equity or voting interests to enable it or them (as a group) ordinarily, in the absence of contingencies, to elect a majority of the directors (or Persons performing similar functions) of such entity, and any partnership or joint venture if more than a 50% interest in the profits or capital thereof is owned by such Person or one or more of its Subsidiaries or such Person and one or more of its Subsidiaries (unless such partnership can and does ordinarily take major business actions without the prior approval of such Person or one or more of its Subsidiaries).  Unless the context otherwise clearly requires, any reference to a “Subsidiary” is a reference to a Subsidiary of the Credit Support Provider.</w:t>
      </w:r>
    </w:p>
    <w:p>
      <w:pPr>
        <w:pStyle w:val="Normal"/>
        <w:ind w:start="720" w:end="0"/>
        <w:jc w:val="both"/>
        <w:rPr>
          <w:b/>
          <w:sz w:val="22"/>
        </w:rPr>
      </w:pPr>
      <w:r>
        <w:rPr>
          <w:b/>
          <w:sz w:val="22"/>
        </w:rPr>
      </w:r>
    </w:p>
    <w:p>
      <w:pPr>
        <w:pStyle w:val="Normal"/>
        <w:ind w:start="720" w:end="0"/>
        <w:jc w:val="both"/>
        <w:rPr/>
      </w:pPr>
      <w:r>
        <w:rPr>
          <w:b/>
          <w:sz w:val="22"/>
        </w:rPr>
        <w:t>“</w:t>
      </w:r>
      <w:r>
        <w:rPr>
          <w:b/>
          <w:sz w:val="22"/>
        </w:rPr>
        <w:t>Wholly-Owned Subsidiary”</w:t>
      </w:r>
      <w:r>
        <w:rPr>
          <w:sz w:val="22"/>
        </w:rPr>
        <w:t xml:space="preserve"> means, at any time, any Subsidiary, one hundred percent (100%) of all of the equity interests (except directors’ qualifying shares) and voting interests of which are owned by any one or more of the Credit Support Provider and the Credit Support Provider’s other Wholly-Owned Subsidiaries at such time.</w:t>
      </w:r>
    </w:p>
    <w:p>
      <w:pPr>
        <w:pStyle w:val="Normal"/>
        <w:ind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Posted Collateral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199__,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JAMES HARDIE AUSTRALIA FINANCE PTY. LIMITED, ACN ___________,  an Australian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$20,000,000.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James Hardie Australia Finance Pty.</w:t>
            </w:r>
          </w:p>
          <w:p>
            <w:pPr>
              <w:pStyle w:val="Normal"/>
              <w:keepNext w:val="true"/>
              <w:keepLines/>
              <w:tabs>
                <w:tab w:val="clear" w:pos="720"/>
                <w:tab w:val="left" w:pos="3132" w:leader="none"/>
              </w:tabs>
              <w:spacing w:lineRule="atLeast" w:line="240"/>
              <w:rPr>
                <w:color w:val="000000"/>
                <w:sz w:val="22"/>
              </w:rPr>
            </w:pPr>
            <w:r>
              <w:rPr>
                <w:color w:val="000000"/>
                <w:sz w:val="22"/>
              </w:rPr>
              <w:t>Limited</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26300 La Alameda, Suite 100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Mission Viejo, California  92691</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Phillip G. Morley</w:t>
            </w:r>
          </w:p>
          <w:p>
            <w:pPr>
              <w:pStyle w:val="Normal"/>
              <w:keepNext w:val="true"/>
              <w:keepLines/>
              <w:tabs>
                <w:tab w:val="clear" w:pos="720"/>
                <w:tab w:val="left" w:pos="3132" w:leader="none"/>
              </w:tabs>
              <w:spacing w:lineRule="atLeast" w:line="240"/>
              <w:rPr>
                <w:color w:val="000000"/>
                <w:sz w:val="22"/>
              </w:rPr>
            </w:pPr>
            <w:r>
              <w:rPr>
                <w:color w:val="000000"/>
                <w:sz w:val="22"/>
              </w:rPr>
              <w:t>Fax No.:  (949) 348-4534</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r>
        <w:trPr/>
        <w:tc>
          <w:tcPr>
            <w:tcW w:w="1908" w:type="dxa"/>
            <w:tcBorders/>
          </w:tcPr>
          <w:p>
            <w:pPr>
              <w:pStyle w:val="Normal"/>
              <w:keepNext w:val="true"/>
              <w:keepLines/>
              <w:spacing w:lineRule="atLeast" w:line="240"/>
              <w:rPr>
                <w:color w:val="000000"/>
                <w:sz w:val="22"/>
              </w:rPr>
            </w:pPr>
            <w:r>
              <w:rPr>
                <w:color w:val="000000"/>
                <w:sz w:val="22"/>
              </w:rPr>
              <w:t>With a copy to:</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James Hardie Australia Finance Pty Limited</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65 York Street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Sydney NSW 2000 Australia</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Don Cameron</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011-612-9262-5758</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sz w:val="22"/>
        </w:rPr>
      </w:pPr>
      <w:r>
        <w:rPr>
          <w:sz w:val="22"/>
        </w:rPr>
      </w:r>
    </w:p>
    <w:p>
      <w:pPr>
        <w:pStyle w:val="Normal"/>
        <w:spacing w:lineRule="exact" w:line="240"/>
        <w:ind w:end="720"/>
        <w:jc w:val="center"/>
        <w:rPr>
          <w:b/>
          <w:color w:val="000000"/>
          <w:sz w:val="22"/>
        </w:rPr>
      </w:pPr>
      <w:r>
        <w:rPr>
          <w:b/>
          <w:sz w:val="22"/>
          <w:u w:val="single"/>
        </w:rPr>
        <w:t xml:space="preserve">EXHIBIT </w:t>
      </w:r>
      <w:r>
        <w:rPr>
          <w:b/>
          <w:color w:val="000000"/>
          <w:sz w:val="22"/>
          <w:u w:val="single"/>
        </w:rPr>
        <w:t>B</w:t>
      </w:r>
    </w:p>
    <w:p>
      <w:pPr>
        <w:pStyle w:val="Normal"/>
        <w:spacing w:lineRule="exact" w:line="240"/>
        <w:ind w:end="720"/>
        <w:jc w:val="center"/>
        <w:rPr>
          <w:b/>
          <w:color w:val="000000"/>
          <w:sz w:val="22"/>
        </w:rPr>
      </w:pPr>
      <w:r>
        <w:rPr>
          <w:b/>
          <w:color w:val="000000"/>
          <w:sz w:val="22"/>
        </w:rPr>
      </w:r>
    </w:p>
    <w:p>
      <w:pPr>
        <w:pStyle w:val="Normal"/>
        <w:spacing w:lineRule="exact" w:line="240"/>
        <w:ind w:end="720"/>
        <w:jc w:val="center"/>
        <w:rPr>
          <w:b/>
          <w:color w:val="000000"/>
          <w:sz w:val="22"/>
        </w:rPr>
      </w:pPr>
      <w:r>
        <w:rPr>
          <w:b/>
          <w:color w:val="000000"/>
          <w:sz w:val="22"/>
        </w:rPr>
        <w:t>JAMES HARDIE N.V.</w:t>
      </w:r>
    </w:p>
    <w:p>
      <w:pPr>
        <w:pStyle w:val="Normal"/>
        <w:ind w:end="720"/>
        <w:jc w:val="center"/>
        <w:rPr>
          <w:b/>
          <w:color w:val="000000"/>
          <w:sz w:val="22"/>
        </w:rPr>
      </w:pPr>
      <w:r>
        <w:rPr>
          <w:b/>
          <w:color w:val="000000"/>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w:t>
      </w:r>
      <w:r>
        <w:rPr>
          <w:sz w:val="22"/>
          <w:u w:val="single"/>
        </w:rPr>
        <w:tab/>
      </w:r>
      <w:r>
        <w:rPr>
          <w:sz w:val="22"/>
        </w:rPr>
        <w:t>, is made and entered into by JAMES HARDIE N.V., a Netherlands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JAMES HARDIE AUSTRALIA FINANCE PTY. LIMITED, ACN ___________, a wholly owned subsidiary of Guarantor (“Counterparty”) and </w:t>
      </w:r>
      <w:r>
        <w:rPr>
          <w:caps/>
          <w:sz w:val="22"/>
        </w:rPr>
        <w:t>Enron NORTH AMERICA Corp.</w:t>
      </w:r>
      <w:r>
        <w:rPr>
          <w:sz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Netherlands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9288" w:type="dxa"/>
        <w:jc w:val="start"/>
        <w:tblInd w:w="0" w:type="dxa"/>
        <w:tblLayout w:type="fixed"/>
        <w:tblCellMar>
          <w:top w:w="0" w:type="dxa"/>
          <w:start w:w="108" w:type="dxa"/>
          <w:bottom w:w="0" w:type="dxa"/>
          <w:end w:w="108" w:type="dxa"/>
        </w:tblCellMar>
      </w:tblPr>
      <w:tblGrid>
        <w:gridCol w:w="1278"/>
        <w:gridCol w:w="3600"/>
        <w:gridCol w:w="1620"/>
        <w:gridCol w:w="2790"/>
      </w:tblGrid>
      <w:tr>
        <w:trPr/>
        <w:tc>
          <w:tcPr>
            <w:tcW w:w="1278" w:type="dxa"/>
            <w:tcBorders/>
          </w:tcPr>
          <w:p>
            <w:pPr>
              <w:pStyle w:val="Normal"/>
              <w:keepNext w:val="true"/>
              <w:keepLines/>
              <w:spacing w:lineRule="atLeast" w:line="240"/>
              <w:rPr>
                <w:sz w:val="22"/>
              </w:rPr>
            </w:pPr>
            <w:r>
              <w:rPr>
                <w:sz w:val="22"/>
              </w:rPr>
              <w:t>To Enron:</w:t>
            </w:r>
          </w:p>
        </w:tc>
        <w:tc>
          <w:tcPr>
            <w:tcW w:w="3600" w:type="dxa"/>
            <w:tcBorders/>
          </w:tcPr>
          <w:p>
            <w:pPr>
              <w:pStyle w:val="Normal"/>
              <w:keepNext w:val="true"/>
              <w:keepLines/>
              <w:spacing w:lineRule="atLeast" w:line="240"/>
              <w:rPr>
                <w:sz w:val="22"/>
              </w:rPr>
            </w:pPr>
            <w:r>
              <w:rPr>
                <w:sz w:val="22"/>
              </w:rPr>
              <w:t>Enron North America Corp.</w:t>
            </w:r>
          </w:p>
        </w:tc>
        <w:tc>
          <w:tcPr>
            <w:tcW w:w="1620" w:type="dxa"/>
            <w:tcBorders/>
          </w:tcPr>
          <w:p>
            <w:pPr>
              <w:pStyle w:val="Normal"/>
              <w:keepNext w:val="true"/>
              <w:keepLines/>
              <w:spacing w:lineRule="atLeast" w:line="240"/>
              <w:rPr>
                <w:sz w:val="22"/>
              </w:rPr>
            </w:pPr>
            <w:r>
              <w:rPr>
                <w:sz w:val="22"/>
              </w:rPr>
              <w:t>To Guarantor:</w:t>
            </w:r>
          </w:p>
        </w:tc>
        <w:tc>
          <w:tcPr>
            <w:tcW w:w="2790" w:type="dxa"/>
            <w:tcBorders/>
          </w:tcPr>
          <w:p>
            <w:pPr>
              <w:pStyle w:val="Normal"/>
              <w:keepNext w:val="true"/>
              <w:keepLines/>
              <w:tabs>
                <w:tab w:val="clear" w:pos="720"/>
                <w:tab w:val="right" w:pos="2988" w:leader="none"/>
              </w:tabs>
              <w:spacing w:lineRule="atLeast" w:line="240"/>
              <w:rPr>
                <w:sz w:val="22"/>
              </w:rPr>
            </w:pPr>
            <w:r>
              <w:rPr>
                <w:sz w:val="22"/>
              </w:rPr>
              <w:t>James Hardie N.V.</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pacing w:lineRule="atLeast" w:line="240"/>
              <w:ind w:end="72"/>
              <w:rPr>
                <w:sz w:val="22"/>
              </w:rPr>
            </w:pPr>
            <w:r>
              <w:rPr>
                <w:sz w:val="22"/>
              </w:rPr>
              <w:t>26300 La Alameda, Suite 100</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pacing w:lineRule="atLeast" w:line="240"/>
              <w:rPr>
                <w:sz w:val="22"/>
              </w:rPr>
            </w:pPr>
            <w:r>
              <w:rPr>
                <w:sz w:val="22"/>
              </w:rPr>
              <w:t>Houston, TX  77002</w:t>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pacing w:lineRule="atLeast" w:line="240"/>
              <w:rPr>
                <w:sz w:val="22"/>
              </w:rPr>
            </w:pPr>
            <w:r>
              <w:rPr>
                <w:sz w:val="22"/>
              </w:rPr>
              <w:t>Mission Viejo, CA  92691</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pacing w:lineRule="atLeast" w:line="240"/>
              <w:rPr>
                <w:sz w:val="22"/>
              </w:rPr>
            </w:pPr>
            <w:r>
              <w:rPr>
                <w:sz w:val="22"/>
              </w:rPr>
              <w:t>Attn.: Director, Documentation Dept.</w:t>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pacing w:lineRule="atLeast" w:line="240"/>
              <w:rPr>
                <w:sz w:val="22"/>
              </w:rPr>
            </w:pPr>
            <w:r>
              <w:rPr>
                <w:sz w:val="22"/>
              </w:rPr>
              <w:t>Attn.:  Phillip G. Morley</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pacing w:lineRule="atLeast" w:line="240"/>
              <w:rPr>
                <w:sz w:val="22"/>
              </w:rPr>
            </w:pPr>
            <w:r>
              <w:rPr>
                <w:sz w:val="22"/>
              </w:rPr>
              <w:t>Fax No.:  (949) 348-4534</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napToGrid w:val="false"/>
              <w:spacing w:lineRule="atLeast" w:line="240"/>
              <w:rPr>
                <w:sz w:val="22"/>
              </w:rPr>
            </w:pPr>
            <w:r>
              <w:rPr>
                <w:sz w:val="22"/>
              </w:rPr>
            </w:r>
          </w:p>
        </w:tc>
        <w:tc>
          <w:tcPr>
            <w:tcW w:w="1620" w:type="dxa"/>
            <w:tcBorders/>
          </w:tcPr>
          <w:p>
            <w:pPr>
              <w:pStyle w:val="Normal"/>
              <w:keepNext w:val="true"/>
              <w:keepLines/>
              <w:spacing w:lineRule="atLeast" w:line="240"/>
              <w:rPr>
                <w:sz w:val="22"/>
              </w:rPr>
            </w:pPr>
            <w:r>
              <w:rPr>
                <w:sz w:val="22"/>
              </w:rPr>
              <w:t>With a copy to:</w:t>
            </w:r>
          </w:p>
        </w:tc>
        <w:tc>
          <w:tcPr>
            <w:tcW w:w="2790" w:type="dxa"/>
            <w:tcBorders/>
          </w:tcPr>
          <w:p>
            <w:pPr>
              <w:pStyle w:val="Normal"/>
              <w:keepNext w:val="true"/>
              <w:keepLines/>
              <w:tabs>
                <w:tab w:val="clear" w:pos="720"/>
                <w:tab w:val="right" w:pos="2988" w:leader="none"/>
              </w:tabs>
              <w:spacing w:lineRule="atLeast" w:line="240"/>
              <w:rPr>
                <w:sz w:val="22"/>
              </w:rPr>
            </w:pPr>
            <w:r>
              <w:rPr>
                <w:sz w:val="22"/>
              </w:rPr>
              <w:t>James Hardie N.V.</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pacing w:lineRule="atLeast" w:line="240"/>
              <w:rPr>
                <w:sz w:val="22"/>
              </w:rPr>
            </w:pPr>
            <w:r>
              <w:rPr>
                <w:sz w:val="22"/>
              </w:rPr>
              <w:t>65 York Street</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pacing w:lineRule="atLeast" w:line="240"/>
              <w:rPr>
                <w:sz w:val="22"/>
              </w:rPr>
            </w:pPr>
            <w:r>
              <w:rPr>
                <w:sz w:val="22"/>
              </w:rPr>
              <w:t>Sydney NSW 2000 Australia</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pacing w:lineRule="atLeast" w:line="240"/>
              <w:rPr>
                <w:sz w:val="22"/>
              </w:rPr>
            </w:pPr>
            <w:r>
              <w:rPr>
                <w:sz w:val="22"/>
              </w:rPr>
              <w:t>Attn:  Don Cameron</w:t>
            </w:r>
          </w:p>
        </w:tc>
      </w:tr>
      <w:tr>
        <w:trPr/>
        <w:tc>
          <w:tcPr>
            <w:tcW w:w="1278"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790" w:type="dxa"/>
            <w:tcBorders/>
          </w:tcPr>
          <w:p>
            <w:pPr>
              <w:pStyle w:val="Normal"/>
              <w:keepNext w:val="true"/>
              <w:keepLines/>
              <w:tabs>
                <w:tab w:val="clear" w:pos="720"/>
                <w:tab w:val="right" w:pos="2988" w:leader="none"/>
              </w:tabs>
              <w:spacing w:lineRule="atLeast" w:line="240"/>
              <w:rPr>
                <w:sz w:val="22"/>
              </w:rPr>
            </w:pPr>
            <w:r>
              <w:rPr>
                <w:sz w:val="22"/>
              </w:rPr>
              <w:t>Fax No.: 011-612-9262-5758</w:t>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200_, but it is effective as of the date first above written.</w:t>
      </w:r>
    </w:p>
    <w:p>
      <w:pPr>
        <w:pStyle w:val="Normal"/>
        <w:spacing w:lineRule="atLeast" w:line="240"/>
        <w:jc w:val="both"/>
        <w:rPr>
          <w:b/>
          <w:sz w:val="22"/>
        </w:rPr>
      </w:pPr>
      <w:r>
        <w:rPr>
          <w:b/>
          <w:sz w:val="22"/>
        </w:rPr>
      </w:r>
    </w:p>
    <w:p>
      <w:pPr>
        <w:pStyle w:val="Normal"/>
        <w:spacing w:lineRule="exact" w:line="240"/>
        <w:ind w:start="5040" w:end="0"/>
        <w:jc w:val="both"/>
        <w:rPr>
          <w:sz w:val="22"/>
        </w:rPr>
      </w:pPr>
      <w:r>
        <w:rPr>
          <w:b/>
          <w:sz w:val="22"/>
        </w:rPr>
        <w:t>JAMES HARDIE N.V.</w:t>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p>
      <w:pPr>
        <w:pStyle w:val="Normal"/>
        <w:jc w:val="center"/>
        <w:rPr>
          <w:sz w:val="22"/>
        </w:rPr>
      </w:pPr>
      <w:r>
        <w:rPr>
          <w:sz w:val="22"/>
        </w:rPr>
        <w:t>[Letterhead of</w:t>
      </w:r>
    </w:p>
    <w:p>
      <w:pPr>
        <w:pStyle w:val="Normal"/>
        <w:jc w:val="center"/>
        <w:rPr>
          <w:sz w:val="22"/>
        </w:rPr>
      </w:pPr>
      <w:r>
        <w:rPr>
          <w:sz w:val="22"/>
        </w:rPr>
        <w:t>Counsel to Counterparty]</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[Date]</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Enron North America Corp.</w:t>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r>
    </w:p>
    <w:p>
      <w:pPr>
        <w:pStyle w:val="Normal"/>
        <w:rPr>
          <w:sz w:val="22"/>
        </w:rPr>
      </w:pPr>
      <w:r>
        <w:rPr>
          <w:sz w:val="22"/>
        </w:rPr>
        <w:t>Dear Sir or Madam:</w:t>
      </w:r>
    </w:p>
    <w:p>
      <w:pPr>
        <w:pStyle w:val="Normal"/>
        <w:rPr>
          <w:sz w:val="22"/>
        </w:rPr>
      </w:pPr>
      <w:r>
        <w:rPr>
          <w:sz w:val="22"/>
        </w:rPr>
      </w:r>
    </w:p>
    <w:p>
      <w:pPr>
        <w:pStyle w:val="Normal"/>
        <w:ind w:firstLine="1440" w:end="0"/>
        <w:jc w:val="both"/>
        <w:rPr>
          <w:sz w:val="22"/>
        </w:rPr>
      </w:pPr>
      <w:r>
        <w:rPr>
          <w:sz w:val="22"/>
        </w:rPr>
        <w:t>We have acted as counsel to James Hardie Australia Finance Pty. Limited (the “Counterparty”), in connection with the execution and delivery by the Counterparty of the Confirmation relating to that certain transaction with a Trade Date of                      , 19     , which constitutes a supplement to, and forms a part of, the ISDA Master Agreement dated as of          , 19    (such Transaction and the ISDA Master Agreement to which it is subject being hereinafter referred to as the “Agreement”), between you and the Counterparty.</w:t>
      </w:r>
    </w:p>
    <w:p>
      <w:pPr>
        <w:pStyle w:val="Normal"/>
        <w:jc w:val="both"/>
        <w:rPr>
          <w:sz w:val="22"/>
        </w:rPr>
      </w:pPr>
      <w:r>
        <w:rPr>
          <w:sz w:val="22"/>
        </w:rPr>
      </w:r>
    </w:p>
    <w:p>
      <w:pPr>
        <w:pStyle w:val="Normal"/>
        <w:jc w:val="both"/>
        <w:rPr>
          <w:sz w:val="22"/>
        </w:rPr>
      </w:pPr>
      <w:r>
        <w:rPr>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 and [              ].</w:t>
      </w:r>
    </w:p>
    <w:p>
      <w:pPr>
        <w:pStyle w:val="Normal"/>
        <w:jc w:val="both"/>
        <w:rPr>
          <w:sz w:val="22"/>
        </w:rPr>
      </w:pPr>
      <w:r>
        <w:rPr>
          <w:sz w:val="22"/>
        </w:rPr>
      </w:r>
    </w:p>
    <w:p>
      <w:pPr>
        <w:pStyle w:val="Normal"/>
        <w:jc w:val="both"/>
        <w:rPr>
          <w:sz w:val="22"/>
        </w:rPr>
      </w:pPr>
      <w:r>
        <w:rPr>
          <w:sz w:val="22"/>
        </w:rPr>
        <w:tab/>
        <w:tab/>
        <w:t>Based upon the foregoing and having regard for such legal considerations as we deem relevant, we are of opinion that:</w:t>
      </w:r>
    </w:p>
    <w:p>
      <w:pPr>
        <w:pStyle w:val="Normal"/>
        <w:jc w:val="both"/>
        <w:rPr>
          <w:sz w:val="22"/>
        </w:rPr>
      </w:pPr>
      <w:r>
        <w:rPr>
          <w:sz w:val="22"/>
        </w:rPr>
      </w:r>
    </w:p>
    <w:p>
      <w:pPr>
        <w:pStyle w:val="Normal"/>
        <w:tabs>
          <w:tab w:val="clear" w:pos="720"/>
          <w:tab w:val="left" w:pos="1440" w:leader="none"/>
        </w:tabs>
        <w:jc w:val="both"/>
        <w:rPr>
          <w:sz w:val="22"/>
        </w:rPr>
      </w:pPr>
      <w:r>
        <w:rPr>
          <w:sz w:val="22"/>
        </w:rPr>
        <w:tab/>
        <w:t>1.  The Counterparty is a [                        ] duly existing under the laws of [                  ].</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2.  The Counterparty has full corporate power to execute and deliver the Agreement and to perform its obligations thereunder.</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4.  All authorizations of, exemptions by and filings with any governmental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6.  [The choice of law provision set forth in the Agreement is valid and binding under the laws of [                   ] and any political subdivision thereof and would be given effect by the courts of [                       ] and any political subdivision thereof.]</w:t>
      </w:r>
    </w:p>
    <w:p>
      <w:pPr>
        <w:pStyle w:val="Normal"/>
        <w:tabs>
          <w:tab w:val="clear" w:pos="720"/>
          <w:tab w:val="left" w:pos="1440" w:leader="none"/>
        </w:tabs>
        <w:jc w:val="both"/>
        <w:rPr>
          <w:sz w:val="22"/>
        </w:rPr>
      </w:pPr>
      <w:r>
        <w:rPr>
          <w:sz w:val="22"/>
        </w:rPr>
      </w:r>
    </w:p>
    <w:p>
      <w:pPr>
        <w:pStyle w:val="Normal"/>
        <w:tabs>
          <w:tab w:val="clear" w:pos="720"/>
          <w:tab w:val="left" w:pos="1260" w:leader="none"/>
          <w:tab w:val="left" w:pos="1440" w:leader="none"/>
        </w:tabs>
        <w:jc w:val="both"/>
        <w:rPr>
          <w:sz w:val="22"/>
        </w:rPr>
      </w:pPr>
      <w:r>
        <w:rPr>
          <w:sz w:val="22"/>
        </w:rPr>
        <w:tab/>
        <w:t xml:space="preserve"> [7.  The Counterparty is not entitled to claim immunity for itself or its property or assets from service of process, jurisdiction, suit, judgment, execution, attachment (whether before judgment, in aid or execution, or otherwise), nor may there be attributed to it or its property or assets any such immunity (whether or not claimed).</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8.  The payment obligations of the Counterparty under the Agreement rank at least equally with its unsecured and unsubordinated internal and external indebtedness.</w:t>
      </w:r>
    </w:p>
    <w:p>
      <w:pPr>
        <w:pStyle w:val="Normal"/>
        <w:tabs>
          <w:tab w:val="clear" w:pos="720"/>
          <w:tab w:val="left" w:pos="1440" w:leader="none"/>
        </w:tabs>
        <w:jc w:val="both"/>
        <w:rPr>
          <w:sz w:val="22"/>
        </w:rPr>
      </w:pPr>
      <w:r>
        <w:rPr>
          <w:sz w:val="22"/>
        </w:rPr>
      </w:r>
    </w:p>
    <w:p>
      <w:pPr>
        <w:pStyle w:val="Normal"/>
        <w:tabs>
          <w:tab w:val="clear" w:pos="720"/>
          <w:tab w:val="left" w:pos="1260" w:leader="none"/>
          <w:tab w:val="left" w:pos="1440" w:leader="none"/>
        </w:tabs>
        <w:jc w:val="both"/>
        <w:rPr>
          <w:sz w:val="22"/>
        </w:rPr>
      </w:pPr>
      <w:r>
        <w:rPr>
          <w:sz w:val="22"/>
        </w:rPr>
        <w:tab/>
        <w:t>9.  The security interest granted by the Counterparty to Enron North America Corp. pursuant to the Collateral Annex (the “Security Agreement”) constitutes a valid, first prior perfected and enforceable security interest in, and lien on, all of the Counterparty’s right, title and interest in and to the collateral (as defined in the Security Agreement), subject to no equal or prior security interests or liens of any kind whatsoever.]</w:t>
      </w:r>
    </w:p>
    <w:p>
      <w:pPr>
        <w:pStyle w:val="Normal"/>
        <w:tabs>
          <w:tab w:val="clear" w:pos="720"/>
          <w:tab w:val="left" w:pos="1260" w:leader="none"/>
          <w:tab w:val="left" w:pos="1440" w:leader="none"/>
        </w:tabs>
        <w:rPr>
          <w:sz w:val="22"/>
        </w:rPr>
      </w:pPr>
      <w:r>
        <w:rPr>
          <w:sz w:val="22"/>
        </w:rPr>
      </w:r>
    </w:p>
    <w:p>
      <w:pPr>
        <w:pStyle w:val="Normal"/>
        <w:tabs>
          <w:tab w:val="clear" w:pos="720"/>
          <w:tab w:val="left" w:pos="1440" w:leader="none"/>
        </w:tabs>
        <w:rPr>
          <w:sz w:val="22"/>
        </w:rPr>
      </w:pPr>
      <w:r>
        <w:rPr>
          <w:sz w:val="22"/>
        </w:rPr>
        <w:tab/>
        <w:tab/>
        <w:tab/>
        <w:tab/>
        <w:tab/>
        <w:tab/>
        <w:t>Very truly yours,</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r>
    </w:p>
    <w:p>
      <w:pPr>
        <w:pStyle w:val="Normal"/>
        <w:keepNext w:val="true"/>
        <w:keepLines/>
        <w:spacing w:lineRule="exact" w:line="240"/>
        <w:jc w:val="center"/>
        <w:rPr>
          <w:sz w:val="22"/>
        </w:rPr>
      </w:pPr>
      <w:r>
        <w:rPr>
          <w:sz w:val="22"/>
        </w:rPr>
      </w:r>
    </w:p>
    <w:p>
      <w:pPr>
        <w:pStyle w:val="Normal"/>
        <w:rPr>
          <w:sz w:val="22"/>
        </w:rPr>
      </w:pPr>
      <w:r>
        <w:rPr>
          <w:sz w:val="22"/>
        </w:rPr>
      </w:r>
    </w:p>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MS LineDraw">
    <w:altName w:val="Courier Ne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/mnt/main-storage/datasets/enron-docs/doc/299bctr.doc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Exhibit B</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/mnt/main-storage/datasets/enron-docs/doc/299bctr.doc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10</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Normal"/>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Normal"/>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48" w:leader="none"/>
        <w:tab w:val="right" w:pos="8712" w:leader="none"/>
      </w:tabs>
      <w:spacing w:lineRule="exact" w:line="240"/>
      <w:ind w:start="-576" w:end="-1800"/>
      <w:rPr>
        <w:rFonts w:ascii="MS LineDraw;Courier New" w:hAnsi="MS LineDraw;Courier New" w:cs="MS LineDraw;Courier New"/>
        <w:sz w:val="24"/>
      </w:rPr>
    </w:pPr>
    <w:r>
      <w:rPr>
        <w:rFonts w:cs="MS LineDraw;Courier New" w:ascii="MS LineDraw;Courier New" w:hAnsi="MS LineDraw;Courier New"/>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end"/>
      <w:outlineLvl w:val="2"/>
    </w:pPr>
    <w:rPr>
      <w:b/>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BodyTextIndent">
    <w:name w:val="Body Text Indent"/>
    <w:basedOn w:val="Normal"/>
    <w:pPr>
      <w:ind w:hanging="0" w:start="1080" w:end="0"/>
      <w:jc w:val="both"/>
    </w:pPr>
    <w:rPr>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2000-08-23T11:56:00Z</dcterms:created>
  <dc:creator>mheard</dc:creator>
  <dc:description/>
  <dc:language>en-CA</dc:language>
  <cp:lastModifiedBy>tjones</cp:lastModifiedBy>
  <cp:lastPrinted>2000-03-22T17:20:00Z</cp:lastPrinted>
  <dcterms:modified xsi:type="dcterms:W3CDTF">2000-08-23T13:28:00Z</dcterms:modified>
  <cp:revision>17</cp:revision>
  <dc:subject/>
  <dc:title>DRAFT OF 02/08/00</dc:title>
</cp:coreProperties>
</file>