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spacing w:before="400" w:after="120"/>
        <w:rPr>
          <w:rFonts w:ascii="AvantGarde Md BT" w:hAnsi="AvantGarde Md BT" w:cs="AvantGarde Md BT"/>
        </w:rPr>
      </w:pPr>
      <w:r>
        <w:rPr>
          <w:rFonts w:cs="AvantGarde Md BT" w:ascii="AvantGarde Md BT" w:hAnsi="AvantGarde Md BT"/>
          <w:b/>
        </w:rPr>
        <w:t>Memo</w:t>
      </w:r>
    </w:p>
    <w:p>
      <w:pPr>
        <w:pStyle w:val="MessageHeaderFirst"/>
        <w:rPr/>
      </w:pPr>
      <w:r>
        <w:rPr>
          <w:rStyle w:val="MessageHeaderLabel"/>
          <w:rFonts w:cs="AvantGarde Md BT" w:ascii="AvantGarde Md BT" w:hAnsi="AvantGarde Md BT"/>
          <w:spacing w:val="-25"/>
          <w:sz w:val="20"/>
        </w:rPr>
        <w:t>T</w:t>
      </w:r>
      <w:r>
        <w:rPr>
          <w:rStyle w:val="MessageHeaderLabel"/>
          <w:rFonts w:cs="AvantGarde Md BT" w:ascii="AvantGarde Md BT" w:hAnsi="AvantGarde Md BT"/>
          <w:sz w:val="20"/>
        </w:rPr>
        <w:t>o:</w:t>
      </w:r>
      <w:r>
        <w:rPr>
          <w:rFonts w:cs="AvantGarde Md BT" w:ascii="AvantGarde Md BT" w:hAnsi="AvantGarde Md BT"/>
        </w:rPr>
        <w:tab/>
        <w:t>Derek Davies (Enron)</w:t>
      </w:r>
    </w:p>
    <w:p>
      <w:pPr>
        <w:pStyle w:val="MessageHeader"/>
        <w:rPr/>
      </w:pPr>
      <w:r>
        <w:rPr>
          <w:rStyle w:val="MessageHeaderLabel"/>
          <w:rFonts w:cs="AvantGarde Md BT" w:ascii="AvantGarde Md BT" w:hAnsi="AvantGarde Md BT"/>
          <w:sz w:val="20"/>
        </w:rPr>
        <w:t>From:</w:t>
      </w:r>
      <w:r>
        <w:rPr>
          <w:rFonts w:cs="AvantGarde Md BT" w:ascii="AvantGarde Md BT" w:hAnsi="AvantGarde Md BT"/>
        </w:rPr>
        <w:tab/>
        <w:t xml:space="preserve">Paul McMillan </w:t>
      </w:r>
    </w:p>
    <w:p>
      <w:pPr>
        <w:pStyle w:val="MessageHeader"/>
        <w:rPr/>
      </w:pPr>
      <w:r>
        <w:rPr>
          <w:rStyle w:val="MessageHeaderLabel"/>
          <w:rFonts w:cs="AvantGarde Md BT" w:ascii="AvantGarde Md BT" w:hAnsi="AvantGarde Md BT"/>
          <w:sz w:val="20"/>
        </w:rPr>
        <w:t>CC:</w:t>
      </w:r>
      <w:r>
        <w:rPr>
          <w:rFonts w:cs="AvantGarde Md BT" w:ascii="AvantGarde Md BT" w:hAnsi="AvantGarde Md BT"/>
        </w:rPr>
        <w:tab/>
        <w:t>Joe Gysel (Encore), John Patterson (EPCOR)</w:t>
      </w:r>
    </w:p>
    <w:p>
      <w:pPr>
        <w:pStyle w:val="MessageHeader"/>
        <w:rPr/>
      </w:pPr>
      <w:r>
        <w:rPr>
          <w:rStyle w:val="MessageHeaderLabel"/>
          <w:rFonts w:cs="AvantGarde Md BT" w:ascii="AvantGarde Md BT" w:hAnsi="AvantGarde Md BT"/>
          <w:sz w:val="20"/>
        </w:rPr>
        <w:t>Date:</w:t>
      </w:r>
      <w:r>
        <w:rPr>
          <w:rFonts w:cs="AvantGarde Md BT" w:ascii="AvantGarde Md BT" w:hAnsi="AvantGarde Md BT"/>
        </w:rPr>
        <w:tab/>
      </w:r>
      <w:r>
        <w:rPr/>
        <w:fldChar w:fldCharType="begin"/>
      </w:r>
      <w:r>
        <w:rPr/>
        <w:instrText xml:space="preserve"> DATE \@"MMMM\ d', 'yyyy" </w:instrText>
      </w:r>
      <w:r>
        <w:rPr/>
        <w:fldChar w:fldCharType="separate"/>
      </w:r>
      <w:r>
        <w:rPr/>
        <w:t>September 28, 2025</w:t>
      </w:r>
      <w:r>
        <w:rPr/>
        <w:fldChar w:fldCharType="end"/>
      </w:r>
    </w:p>
    <w:p>
      <w:pPr>
        <w:pStyle w:val="MessageHeaderLast"/>
        <w:rPr>
          <w:b/>
        </w:rPr>
      </w:pPr>
      <w:r>
        <w:rPr>
          <w:rStyle w:val="MessageHeaderLabel"/>
          <w:rFonts w:cs="AvantGarde Md BT" w:ascii="AvantGarde Md BT" w:hAnsi="AvantGarde Md BT"/>
          <w:b/>
          <w:sz w:val="20"/>
        </w:rPr>
        <w:t>Re:</w:t>
      </w:r>
      <w:r>
        <w:rPr>
          <w:rFonts w:cs="AvantGarde Md BT" w:ascii="AvantGarde Md BT" w:hAnsi="AvantGarde Md BT"/>
          <w:b/>
        </w:rPr>
        <w:tab/>
        <w:t>Enron Short Form Agreement</w:t>
      </w:r>
    </w:p>
    <w:p>
      <w:pPr>
        <w:pStyle w:val="BodyText"/>
        <w:rPr/>
      </w:pPr>
      <w:r>
        <w:rPr/>
        <w:t>Derek, sorry for the delay however we have been extremely busy.  We have reviewed your ShortForm agreement and make the following comments, which we would like to discuss with you.  The following are comments on Annex A (General Terms and Conditions of Confirmation):</w:t>
      </w:r>
    </w:p>
    <w:p>
      <w:pPr>
        <w:pStyle w:val="Normal"/>
        <w:numPr>
          <w:ilvl w:val="0"/>
          <w:numId w:val="4"/>
        </w:numPr>
        <w:tabs>
          <w:tab w:val="clear" w:pos="36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rPr>
      </w:pPr>
      <w:r>
        <w:rPr>
          <w:b/>
        </w:rPr>
        <w:t xml:space="preserve">Introductory Clause - </w:t>
      </w:r>
      <w:r>
        <w:rPr/>
        <w:t>We believe that the Annex is generally workable for the short term but if we wish to complete substantial business with Enron, in addition to this arrangement, then we believe that a Master Agreement would be appropriate.</w:t>
      </w:r>
    </w:p>
    <w:p>
      <w:pPr>
        <w:pStyle w:val="Normal"/>
        <w:tabs>
          <w:tab w:val="clear" w:pos="36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b/>
        </w:rPr>
      </w:pPr>
      <w:r>
        <w:rPr>
          <w:b/>
        </w:rPr>
      </w:r>
    </w:p>
    <w:p>
      <w:pPr>
        <w:pStyle w:val="Normal"/>
        <w:numPr>
          <w:ilvl w:val="0"/>
          <w:numId w:val="4"/>
        </w:numPr>
        <w:tabs>
          <w:tab w:val="clear" w:pos="36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rPr>
      </w:pPr>
      <w:r>
        <w:rPr>
          <w:b/>
        </w:rPr>
        <w:t xml:space="preserve">Section 2 (Payments) - </w:t>
      </w:r>
      <w:r>
        <w:rPr/>
        <w:t>It is difficult to tell whether the description of the various payments works in the absence of the relevant Confirmation.  Specifically, it is not clear that a fixed/floating amount swap is calculated on an hour-by-hour basis.  See the definitions of Fixed Amount, Floating Amount and Determination Period.</w:t>
      </w:r>
    </w:p>
    <w:p>
      <w:pPr>
        <w:pStyle w:val="Normal"/>
        <w:tabs>
          <w:tab w:val="clear" w:pos="36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rPr>
      </w:pPr>
      <w:r>
        <w:rPr>
          <w:b/>
        </w:rPr>
      </w:r>
    </w:p>
    <w:p>
      <w:pPr>
        <w:pStyle w:val="Normal"/>
        <w:numPr>
          <w:ilvl w:val="0"/>
          <w:numId w:val="8"/>
        </w:numPr>
        <w:tabs>
          <w:tab w:val="clear" w:pos="36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360" w:start="720" w:end="0"/>
        <w:jc w:val="both"/>
        <w:rPr/>
      </w:pPr>
      <w:r>
        <w:rPr/>
        <w:t>The default currency is US dollars, the payment deadline is determined by Central time and the interest rate is defined as the prime rate published under "Money Rates" in The Wall Street Journal.  To avoid including foreign exchange risk and given we are dealing in Canadian dollars with the transaction in Alberta it is our view that the default currency should be Canadian dollars and it would be more appropriate to refer to Mountain time and a Canadian bank prime rate.</w:t>
      </w:r>
    </w:p>
    <w:p>
      <w:pPr>
        <w:pStyle w:val="Normal"/>
        <w:tabs>
          <w:tab w:val="clear" w:pos="36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rPr>
      </w:pPr>
      <w:r>
        <w:rPr>
          <w:b/>
        </w:rPr>
      </w:r>
    </w:p>
    <w:p>
      <w:pPr>
        <w:pStyle w:val="Normal"/>
        <w:numPr>
          <w:ilvl w:val="0"/>
          <w:numId w:val="4"/>
        </w:numPr>
        <w:tabs>
          <w:tab w:val="clear" w:pos="36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rPr>
      </w:pPr>
      <w:r>
        <w:rPr>
          <w:b/>
        </w:rPr>
        <w:t xml:space="preserve">Section 3 (Events of Default) - </w:t>
      </w:r>
      <w:r>
        <w:rPr/>
        <w:t>The wording is fine as far as it goes, but raises the question whether there should be any mechanism to call for credit support if either party amalgamates or merges and the successor entity is less creditworthy than the predecessor.</w:t>
      </w:r>
    </w:p>
    <w:p>
      <w:pPr>
        <w:pStyle w:val="Normal"/>
        <w:tabs>
          <w:tab w:val="clear" w:pos="36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rPr>
      </w:pPr>
      <w:r>
        <w:rPr>
          <w:b/>
        </w:rPr>
      </w:r>
    </w:p>
    <w:p>
      <w:pPr>
        <w:pStyle w:val="Normal"/>
        <w:numPr>
          <w:ilvl w:val="0"/>
          <w:numId w:val="4"/>
        </w:numPr>
        <w:tabs>
          <w:tab w:val="clear" w:pos="36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rPr>
      </w:pPr>
      <w:r>
        <w:rPr>
          <w:b/>
        </w:rPr>
        <w:t>Section 4 (Remedies) - A</w:t>
      </w:r>
      <w:r>
        <w:rPr/>
        <w:t>n Early Termination Date terminates all Derivative Transactions that have settlement or determination periods following the Early Termination Date.  Consequently all other swaps, options or financially-settled transactions between Encore and Enron would be collapsed.</w:t>
      </w:r>
    </w:p>
    <w:p>
      <w:pPr>
        <w:pStyle w:val="Normal"/>
        <w:tabs>
          <w:tab w:val="clear" w:pos="36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b/>
        </w:rPr>
      </w:pPr>
      <w:r>
        <w:rPr>
          <w:b/>
        </w:rPr>
      </w:r>
    </w:p>
    <w:p>
      <w:pPr>
        <w:pStyle w:val="Normal"/>
        <w:numPr>
          <w:ilvl w:val="0"/>
          <w:numId w:val="8"/>
        </w:numPr>
        <w:tabs>
          <w:tab w:val="clear" w:pos="36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360" w:start="720" w:end="0"/>
        <w:jc w:val="both"/>
        <w:rPr/>
      </w:pPr>
      <w:r>
        <w:rPr/>
        <w:t>The calculation of the termination payment is somewhat different than we are used to.  Termination payments are based on calculations of Costs, Gains and Losses.  Although the wording prohibits double counting, it seems to us that the three concepts overlap except in the case where the non-defaulting party does not try to replace a terminated transaction.  Since determinations must be made in a commercially reasonable manner, I think we believe we need a dispute resolution mechanism.</w:t>
      </w:r>
    </w:p>
    <w:p>
      <w:pPr>
        <w:pStyle w:val="Normal"/>
        <w:tabs>
          <w:tab w:val="clear" w:pos="36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r>
    </w:p>
    <w:p>
      <w:pPr>
        <w:pStyle w:val="Normal"/>
        <w:numPr>
          <w:ilvl w:val="0"/>
          <w:numId w:val="11"/>
        </w:numPr>
        <w:tabs>
          <w:tab w:val="clear" w:pos="36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b/>
        </w:rPr>
        <w:t xml:space="preserve">Section 5 (Setoff) - </w:t>
      </w:r>
      <w:r>
        <w:rPr/>
        <w:t>The wording is very broad – setoff includes affiliates of the defaulting party and is not limited to similar (ie. financial) transactions.  Further, the non-defaulting party is not required to make any payment until it is satisfied that the defaulting party and its affiliates have paid up.</w:t>
      </w:r>
    </w:p>
    <w:p>
      <w:pPr>
        <w:pStyle w:val="Normal"/>
        <w:tabs>
          <w:tab w:val="clear" w:pos="36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r>
    </w:p>
    <w:p>
      <w:pPr>
        <w:pStyle w:val="Normal"/>
        <w:numPr>
          <w:ilvl w:val="0"/>
          <w:numId w:val="11"/>
        </w:numPr>
        <w:tabs>
          <w:tab w:val="clear" w:pos="36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b/>
        </w:rPr>
        <w:t>Section 7 (Market Disruption)</w:t>
      </w:r>
      <w:r>
        <w:rPr/>
        <w:t xml:space="preserve"> - We notice that Enron determines whether a Market Disruption Event (such as a pool price failure) has occurred and, if so, the Floating Price will either be determined by any alternative method specified in the Confirmation or will be determined by Enron.  We find this too arbitrary.  More importantly, market disruption does not lead to any form of early termination.  Enron could continue to specify the floating price in a fixed/floating price swap for the duration of the Confirmation.  In previous arrangements we have done, we have provided for "no fault" termination, under which the parties would share equally in any gains or losses.  This also applied if performance of obligations became illegal or if new and unforeseen taxes were imposed.  These kinds of events are not provided for and we would like to discuss the intent of this clause further.  We do recognize the need for a disruption clause but need to discuss it with you further.</w:t>
      </w:r>
    </w:p>
    <w:p>
      <w:pPr>
        <w:pStyle w:val="Norma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r>
    </w:p>
    <w:p>
      <w:pPr>
        <w:pStyle w:val="Normal"/>
        <w:numPr>
          <w:ilvl w:val="0"/>
          <w:numId w:val="10"/>
        </w:numPr>
        <w:rPr/>
      </w:pPr>
      <w:r>
        <w:rPr>
          <w:b/>
        </w:rPr>
        <w:t>Provisions That Might Be Added - We have listed some other provisions which should be considered in our discussions.</w:t>
      </w:r>
    </w:p>
    <w:p>
      <w:pPr>
        <w:pStyle w:val="Norma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r>
    </w:p>
    <w:p>
      <w:pPr>
        <w:pStyle w:val="Normal"/>
        <w:numPr>
          <w:ilvl w:val="0"/>
          <w:numId w:val="5"/>
        </w:numPr>
        <w:tabs>
          <w:tab w:val="clear" w:pos="36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360" w:start="720" w:end="0"/>
        <w:jc w:val="both"/>
        <w:rPr/>
      </w:pPr>
      <w:r>
        <w:rPr/>
        <w:t>Procedure for preparation of billing statements, including the right to dispute errors and the right to examine records.</w:t>
      </w:r>
    </w:p>
    <w:p>
      <w:pPr>
        <w:pStyle w:val="Normal"/>
        <w:numPr>
          <w:ilvl w:val="0"/>
          <w:numId w:val="5"/>
        </w:numPr>
        <w:tabs>
          <w:tab w:val="clear" w:pos="36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360" w:start="720" w:end="0"/>
        <w:jc w:val="both"/>
        <w:rPr/>
      </w:pPr>
      <w:r>
        <w:rPr/>
        <w:t>Payments do not include exigible taxes.</w:t>
      </w:r>
    </w:p>
    <w:p>
      <w:pPr>
        <w:pStyle w:val="Normal"/>
        <w:numPr>
          <w:ilvl w:val="0"/>
          <w:numId w:val="5"/>
        </w:numPr>
        <w:tabs>
          <w:tab w:val="clear" w:pos="36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360" w:start="720" w:end="0"/>
        <w:jc w:val="both"/>
        <w:rPr/>
      </w:pPr>
      <w:r>
        <w:rPr/>
        <w:t>We assume the floating price payer does not want any linkage to physical output.</w:t>
      </w:r>
    </w:p>
    <w:p>
      <w:pPr>
        <w:pStyle w:val="Normal"/>
        <w:numPr>
          <w:ilvl w:val="0"/>
          <w:numId w:val="5"/>
        </w:numPr>
        <w:tabs>
          <w:tab w:val="clear" w:pos="36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360" w:start="720" w:end="0"/>
        <w:jc w:val="both"/>
        <w:rPr/>
      </w:pPr>
      <w:r>
        <w:rPr/>
        <w:t>Dispute resolution (mediation, followed by arbitration) could be added.</w:t>
      </w:r>
    </w:p>
    <w:p>
      <w:pPr>
        <w:pStyle w:val="Normal"/>
        <w:numPr>
          <w:ilvl w:val="0"/>
          <w:numId w:val="5"/>
        </w:numPr>
        <w:tabs>
          <w:tab w:val="clear" w:pos="36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360" w:start="720" w:end="0"/>
        <w:jc w:val="both"/>
        <w:rPr/>
      </w:pPr>
      <w:r>
        <w:rPr/>
        <w:t>Is there any obligation to provide financial information on a continuing basis or credit support?</w:t>
      </w:r>
    </w:p>
    <w:p>
      <w:pPr>
        <w:pStyle w:val="BodyText"/>
        <w:rPr/>
      </w:pPr>
      <w:r>
        <w:rPr/>
      </w:r>
    </w:p>
    <w:p>
      <w:pPr>
        <w:pStyle w:val="BodyText"/>
        <w:spacing w:before="0" w:after="220"/>
        <w:rPr/>
      </w:pPr>
      <w:r>
        <w:rPr/>
        <w:t>We would like to schedule a time to review this matter with you.  We look forward to a mutually beneficial business relationship with Enron.  Please call at (403) 297.0347 to discuss this matter.</w:t>
      </w:r>
    </w:p>
    <w:sectPr>
      <w:headerReference w:type="default" r:id="rId2"/>
      <w:footerReference w:type="default" r:id="rId3"/>
      <w:type w:val="nextPage"/>
      <w:pgSz w:w="12240" w:h="15840"/>
      <w:pgMar w:left="1800" w:right="1440" w:gutter="0" w:header="965" w:top="1440" w:footer="432"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Black">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modern"/>
    <w:pitch w:val="default"/>
  </w:font>
  <w:font w:name="AvantGarde Md B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clear" w:pos="8640"/>
        <w:tab w:val="right" w:pos="9000" w:leader="none"/>
      </w:tabs>
      <w:spacing w:before="0" w:after="0"/>
      <w:rPr/>
    </w:pPr>
    <w:r>
      <w:rPr>
        <w:rFonts w:cs="AvantGarde Md BT" w:ascii="AvantGarde Md BT" w:hAnsi="AvantGarde Md BT"/>
        <w:sz w:val="12"/>
      </w:rPr>
      <w:t xml:space="preserve">Page </w:t>
    </w:r>
    <w:r>
      <w:rPr>
        <w:rStyle w:val="PageNumber"/>
        <w:rFonts w:cs="AvantGarde Md BT" w:ascii="AvantGarde Md BT" w:hAnsi="AvantGarde Md BT"/>
        <w:sz w:val="12"/>
      </w:rPr>
      <w:fldChar w:fldCharType="begin"/>
    </w:r>
    <w:r>
      <w:rPr>
        <w:rStyle w:val="PageNumber"/>
        <w:sz w:val="12"/>
        <w:rFonts w:cs="AvantGarde Md BT" w:ascii="AvantGarde Md BT" w:hAnsi="AvantGarde Md BT"/>
      </w:rPr>
      <w:instrText xml:space="preserve"> PAGE </w:instrText>
    </w:r>
    <w:r>
      <w:rPr>
        <w:rStyle w:val="PageNumber"/>
        <w:sz w:val="12"/>
        <w:rFonts w:cs="AvantGarde Md BT" w:ascii="AvantGarde Md BT" w:hAnsi="AvantGarde Md BT"/>
      </w:rPr>
      <w:fldChar w:fldCharType="separate"/>
    </w:r>
    <w:r>
      <w:rPr>
        <w:rStyle w:val="PageNumber"/>
        <w:sz w:val="12"/>
        <w:rFonts w:cs="AvantGarde Md BT" w:ascii="AvantGarde Md BT" w:hAnsi="AvantGarde Md BT"/>
      </w:rPr>
      <w:t>2</w:t>
    </w:r>
    <w:r>
      <w:rPr>
        <w:rStyle w:val="PageNumber"/>
        <w:sz w:val="12"/>
        <w:rFonts w:cs="AvantGarde Md BT" w:ascii="AvantGarde Md BT" w:hAnsi="AvantGarde Md BT"/>
      </w:rPr>
      <w:fldChar w:fldCharType="end"/>
    </w:r>
    <w:r>
      <w:rPr>
        <w:rStyle w:val="PageNumber"/>
        <w:rFonts w:cs="AvantGarde Md BT" w:ascii="AvantGarde Md BT" w:hAnsi="AvantGarde Md BT"/>
      </w:rPr>
      <w:tab/>
    </w:r>
    <w:r>
      <w:rPr>
        <w:rStyle w:val="PageNumber"/>
        <w:rFonts w:cs="AvantGarde Md BT" w:ascii="AvantGarde Md BT" w:hAnsi="AvantGarde Md BT"/>
        <w:b/>
      </w:rPr>
      <w:t>Encore Energy Solutions, L.P.</w:t>
    </w:r>
  </w:p>
  <w:p>
    <w:pPr>
      <w:pStyle w:val="Footer"/>
      <w:pBdr>
        <w:top w:val="single" w:sz="6" w:space="1" w:color="000000"/>
      </w:pBdr>
      <w:tabs>
        <w:tab w:val="clear" w:pos="4320"/>
        <w:tab w:val="clear" w:pos="8640"/>
        <w:tab w:val="right" w:pos="9000" w:leader="none"/>
      </w:tabs>
      <w:spacing w:before="0" w:after="0"/>
      <w:rPr>
        <w:rStyle w:val="PageNumber"/>
        <w:rFonts w:ascii="AvantGarde Md BT" w:hAnsi="AvantGarde Md BT" w:cs="AvantGarde Md BT"/>
      </w:rPr>
    </w:pPr>
    <w:r>
      <w:rPr>
        <w:rStyle w:val="PageNumber"/>
        <w:rFonts w:cs="AvantGarde Md BT" w:ascii="AvantGarde Md BT" w:hAnsi="AvantGarde Md BT"/>
        <w:sz w:val="12"/>
      </w:rPr>
      <w:fldChar w:fldCharType="begin"/>
    </w:r>
    <w:r>
      <w:rPr>
        <w:rStyle w:val="PageNumber"/>
        <w:sz w:val="12"/>
        <w:rFonts w:cs="AvantGarde Md BT" w:ascii="AvantGarde Md BT" w:hAnsi="AvantGarde Md BT"/>
      </w:rPr>
      <w:instrText xml:space="preserve"> FILENAME \p </w:instrText>
    </w:r>
    <w:r>
      <w:rPr>
        <w:rStyle w:val="PageNumber"/>
        <w:sz w:val="12"/>
        <w:rFonts w:cs="AvantGarde Md BT" w:ascii="AvantGarde Md BT" w:hAnsi="AvantGarde Md BT"/>
      </w:rPr>
      <w:fldChar w:fldCharType="separate"/>
    </w:r>
    <w:r>
      <w:rPr>
        <w:rStyle w:val="PageNumber"/>
        <w:sz w:val="12"/>
        <w:rFonts w:cs="AvantGarde Md BT" w:ascii="AvantGarde Md BT" w:hAnsi="AvantGarde Md BT"/>
      </w:rPr>
      <w:t>/mnt/main-storage/datasets/enron-docs/doc/2909___enron___shortform.doc</w:t>
    </w:r>
    <w:r>
      <w:rPr>
        <w:rStyle w:val="PageNumber"/>
        <w:sz w:val="12"/>
        <w:rFonts w:cs="AvantGarde Md BT" w:ascii="AvantGarde Md BT" w:hAnsi="AvantGarde Md BT"/>
      </w:rPr>
      <w:fldChar w:fldCharType="end"/>
    </w:r>
    <w:r>
      <w:rPr>
        <w:rStyle w:val="PageNumber"/>
        <w:rFonts w:cs="AvantGarde Md BT" w:ascii="AvantGarde Md BT" w:hAnsi="AvantGarde Md BT"/>
      </w:rPr>
      <w:tab/>
    </w:r>
    <w:r>
      <w:rPr>
        <w:rStyle w:val="PageNumber"/>
        <w:rFonts w:cs="AvantGarde Md BT" w:ascii="AvantGarde Md BT" w:hAnsi="AvantGarde Md BT"/>
        <w:sz w:val="16"/>
      </w:rPr>
      <w:t>1100, 421 - 7</w:t>
    </w:r>
    <w:r>
      <w:rPr>
        <w:rStyle w:val="PageNumber"/>
        <w:rFonts w:cs="AvantGarde Md BT" w:ascii="AvantGarde Md BT" w:hAnsi="AvantGarde Md BT"/>
        <w:sz w:val="16"/>
        <w:vertAlign w:val="superscript"/>
      </w:rPr>
      <w:t>th</w:t>
    </w:r>
    <w:r>
      <w:rPr>
        <w:rStyle w:val="PageNumber"/>
        <w:rFonts w:cs="AvantGarde Md BT" w:ascii="AvantGarde Md BT" w:hAnsi="AvantGarde Md BT"/>
        <w:sz w:val="16"/>
      </w:rPr>
      <w:t xml:space="preserve"> Ave SW</w:t>
    </w:r>
  </w:p>
  <w:p>
    <w:pPr>
      <w:pStyle w:val="Footer"/>
      <w:tabs>
        <w:tab w:val="clear" w:pos="4320"/>
        <w:tab w:val="clear" w:pos="8640"/>
        <w:tab w:val="right" w:pos="9000" w:leader="none"/>
      </w:tabs>
      <w:spacing w:before="0" w:after="0"/>
      <w:rPr>
        <w:rStyle w:val="PageNumber"/>
        <w:rFonts w:ascii="AvantGarde Md BT" w:hAnsi="AvantGarde Md BT" w:cs="AvantGarde Md BT"/>
      </w:rPr>
    </w:pPr>
    <w:r>
      <w:rPr>
        <w:rStyle w:val="PageNumber"/>
        <w:rFonts w:cs="AvantGarde Md BT" w:ascii="AvantGarde Md BT" w:hAnsi="AvantGarde Md BT"/>
        <w:sz w:val="12"/>
      </w:rPr>
      <w:fldChar w:fldCharType="begin"/>
    </w:r>
    <w:r>
      <w:rPr>
        <w:rStyle w:val="PageNumber"/>
        <w:sz w:val="12"/>
        <w:rFonts w:cs="AvantGarde Md BT" w:ascii="AvantGarde Md BT" w:hAnsi="AvantGarde Md BT"/>
      </w:rPr>
      <w:instrText xml:space="preserve"> DATE \@"MM\/dd\/yy\ H:mm\ AM/PM" </w:instrText>
    </w:r>
    <w:r>
      <w:rPr>
        <w:rStyle w:val="PageNumber"/>
        <w:sz w:val="12"/>
        <w:rFonts w:cs="AvantGarde Md BT" w:ascii="AvantGarde Md BT" w:hAnsi="AvantGarde Md BT"/>
      </w:rPr>
      <w:fldChar w:fldCharType="separate"/>
    </w:r>
    <w:r>
      <w:rPr>
        <w:rStyle w:val="PageNumber"/>
        <w:sz w:val="12"/>
        <w:rFonts w:cs="AvantGarde Md BT" w:ascii="AvantGarde Md BT" w:hAnsi="AvantGarde Md BT"/>
      </w:rPr>
      <w:t>09/28/25 7:52 AM</w:t>
    </w:r>
    <w:r>
      <w:rPr>
        <w:rStyle w:val="PageNumber"/>
        <w:sz w:val="12"/>
        <w:rFonts w:cs="AvantGarde Md BT" w:ascii="AvantGarde Md BT" w:hAnsi="AvantGarde Md BT"/>
      </w:rPr>
      <w:fldChar w:fldCharType="end"/>
    </w:r>
    <w:r>
      <w:rPr>
        <w:rStyle w:val="PageNumber"/>
        <w:rFonts w:eastAsia="AvantGarde Md BT" w:cs="AvantGarde Md BT" w:ascii="AvantGarde Md BT" w:hAnsi="AvantGarde Md BT"/>
        <w:sz w:val="12"/>
      </w:rPr>
      <w:t xml:space="preserve"> </w:t>
    </w:r>
    <w:r>
      <w:rPr>
        <w:rStyle w:val="PageNumber"/>
        <w:rFonts w:cs="AvantGarde Md BT" w:ascii="AvantGarde Md BT" w:hAnsi="AvantGarde Md BT"/>
        <w:sz w:val="12"/>
      </w:rPr>
      <w:t xml:space="preserve">- </w:t>
    </w:r>
    <w:r>
      <w:fldChar w:fldCharType="begin"/>
    </w:r>
    <w:r>
      <w:rPr>
        <w:rStyle w:val="PageNumber"/>
        <w:sz w:val="12"/>
        <w:lang w:val="en-CA"/>
      </w:rPr>
      <w:instrText xml:space="preserve"> USERINITIALS  \* MERGEFORMAT </w:instrText>
    </w:r>
    <w:r>
      <w:rPr>
        <w:rStyle w:val="PageNumber"/>
        <w:sz w:val="12"/>
        <w:lang w:val="en-CA"/>
      </w:rPr>
    </w:r>
    <w:r>
      <w:rPr>
        <w:rStyle w:val="PageNumber"/>
        <w:sz w:val="12"/>
        <w:lang w:val="en-CA"/>
      </w:rPr>
      <w:fldChar w:fldCharType="separate"/>
    </w:r>
    <w:r>
      <w:rPr>
        <w:rStyle w:val="PageNumber"/>
        <w:sz w:val="12"/>
        <w:lang w:val="en-CA"/>
      </w:rPr>
      <w:t>PM</w:t>
    </w:r>
    <w:r>
      <w:rPr>
        <w:rStyle w:val="PageNumber"/>
        <w:sz w:val="12"/>
        <w:lang w:val="en-CA"/>
      </w:rPr>
    </w:r>
    <w:r>
      <w:rPr>
        <w:rStyle w:val="PageNumber"/>
        <w:sz w:val="12"/>
        <w:lang w:val="en-CA"/>
      </w:rPr>
      <w:fldChar w:fldCharType="end"/>
    </w:r>
    <w:r>
      <w:rPr>
        <w:rStyle w:val="PageNumber"/>
        <w:rFonts w:cs="AvantGarde Md BT" w:ascii="AvantGarde Md BT" w:hAnsi="AvantGarde Md BT"/>
      </w:rPr>
      <w:tab/>
    </w:r>
    <w:r>
      <w:rPr>
        <w:rStyle w:val="PageNumber"/>
        <w:rFonts w:cs="AvantGarde Md BT" w:ascii="AvantGarde Md BT" w:hAnsi="AvantGarde Md BT"/>
        <w:sz w:val="16"/>
      </w:rPr>
      <w:t>Calgary, Alberta T2P 4K9</w:t>
    </w:r>
  </w:p>
  <w:p>
    <w:pPr>
      <w:pStyle w:val="Footer"/>
      <w:tabs>
        <w:tab w:val="clear" w:pos="4320"/>
        <w:tab w:val="clear" w:pos="8640"/>
        <w:tab w:val="right" w:pos="9000" w:leader="none"/>
      </w:tabs>
      <w:spacing w:before="0" w:after="0"/>
      <w:rPr>
        <w:rStyle w:val="PageNumber"/>
        <w:rFonts w:ascii="AvantGarde Md BT" w:hAnsi="AvantGarde Md BT" w:cs="AvantGarde Md BT"/>
        <w:i/>
        <w:i/>
      </w:rPr>
    </w:pPr>
    <w:r>
      <w:rPr>
        <w:rStyle w:val="PageNumber"/>
        <w:rFonts w:cs="AvantGarde Md BT" w:ascii="AvantGarde Md BT" w:hAnsi="AvantGarde Md BT"/>
      </w:rPr>
      <w:tab/>
    </w:r>
    <w:r>
      <w:rPr>
        <w:rStyle w:val="PageNumber"/>
        <w:rFonts w:cs="AvantGarde Md BT" w:ascii="AvantGarde Md BT" w:hAnsi="AvantGarde Md BT"/>
        <w:i/>
        <w:sz w:val="16"/>
      </w:rPr>
      <w:t>Fax:  403.297.1665</w:t>
    </w:r>
  </w:p>
  <w:p>
    <w:pPr>
      <w:pStyle w:val="Footer"/>
      <w:tabs>
        <w:tab w:val="clear" w:pos="4320"/>
        <w:tab w:val="clear" w:pos="8640"/>
        <w:tab w:val="right" w:pos="9000" w:leader="none"/>
      </w:tabs>
      <w:spacing w:before="0" w:after="0"/>
      <w:jc w:val="end"/>
      <w:rPr/>
    </w:pPr>
    <w:r>
      <w:rPr>
        <w:rStyle w:val="PageNumber"/>
        <w:rFonts w:cs="AvantGarde Md BT" w:ascii="AvantGarde Md BT" w:hAnsi="AvantGarde Md BT"/>
        <w:i/>
        <w:sz w:val="16"/>
      </w:rPr>
      <w:t>Phone:  403.297.0342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end"/>
      <w:rPr/>
    </w:pPr>
    <w:r>
      <w:rPr/>
      <w:object w:dxaOrig="4756" w:dyaOrig="1058">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237.8pt;height:52.9pt" filled="f" o:ole="">
          <v:imagedata r:id="rId2" o:title=""/>
        </v:shape>
        <o:OLEObject Type="Embed" ProgID="" ShapeID="ole_rId1" DrawAspect="Content" ObjectID="_170241344" r:id="rId1"/>
      </w:obje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decimal"/>
      <w:suff w:val="space"/>
      <w:lvlText w:val="Article %1"/>
      <w:lvlJc w:val="start"/>
      <w:pPr>
        <w:tabs>
          <w:tab w:val="num" w:pos="0"/>
        </w:tabs>
        <w:ind w:start="0" w:hanging="0"/>
      </w:pPr>
      <w:rPr>
        <w:caps/>
        <w:sz w:val="24"/>
        <w:i w:val="false"/>
        <w:b/>
        <w:rFonts w:ascii="Times New Roman" w:hAnsi="Times New Roman" w:cs="Times New Roman"/>
      </w:rPr>
    </w:lvl>
    <w:lvl w:ilvl="1">
      <w:start w:val="1"/>
      <w:numFmt w:val="decimal"/>
      <w:lvlText w:val="%1.%2"/>
      <w:lvlJc w:val="start"/>
      <w:pPr>
        <w:tabs>
          <w:tab w:val="num" w:pos="1440"/>
        </w:tabs>
        <w:ind w:start="1440" w:hanging="1440"/>
      </w:pPr>
    </w:lvl>
    <w:lvl w:ilvl="2">
      <w:start w:val="1"/>
      <w:numFmt w:val="lowerLetter"/>
      <w:lvlText w:val="(%3)"/>
      <w:lvlJc w:val="start"/>
      <w:pPr>
        <w:tabs>
          <w:tab w:val="num" w:pos="1440"/>
        </w:tabs>
        <w:ind w:start="1440" w:hanging="720"/>
      </w:pPr>
    </w:lvl>
    <w:lvl w:ilvl="3">
      <w:start w:val="1"/>
      <w:numFmt w:val="lowerRoman"/>
      <w:lvlText w:val="(%4)"/>
      <w:lvlJc w:val="end"/>
      <w:pPr>
        <w:tabs>
          <w:tab w:val="num" w:pos="2880"/>
        </w:tabs>
        <w:ind w:start="2880" w:hanging="720"/>
      </w:pPr>
    </w:lvl>
    <w:lvl w:ilvl="4">
      <w:start w:val="1"/>
      <w:numFmt w:val="upperLetter"/>
      <w:lvlText w:val="(%5)"/>
      <w:lvlJc w:val="start"/>
      <w:pPr>
        <w:tabs>
          <w:tab w:val="num" w:pos="3600"/>
        </w:tabs>
        <w:ind w:start="3600" w:hanging="720"/>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36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US" w:eastAsia="zh-CN" w:bidi="hi-IN"/>
    </w:rPr>
  </w:style>
  <w:style w:type="paragraph" w:styleId="Heading1">
    <w:name w:val="heading 1"/>
    <w:basedOn w:val="HeadingBase"/>
    <w:next w:val="BodyText"/>
    <w:qFormat/>
    <w:pPr>
      <w:numPr>
        <w:ilvl w:val="0"/>
        <w:numId w:val="1"/>
      </w:numPr>
      <w:spacing w:lineRule="atLeast" w:line="200" w:before="0" w:after="220"/>
      <w:outlineLvl w:val="0"/>
    </w:pPr>
    <w:rPr>
      <w:sz w:val="22"/>
    </w:rPr>
  </w:style>
  <w:style w:type="paragraph" w:styleId="Heading2">
    <w:name w:val="heading 2"/>
    <w:basedOn w:val="HeadingBase"/>
    <w:next w:val="BodyText"/>
    <w:qFormat/>
    <w:pPr>
      <w:numPr>
        <w:ilvl w:val="1"/>
        <w:numId w:val="1"/>
      </w:numPr>
      <w:spacing w:lineRule="atLeast" w:line="200"/>
      <w:outlineLvl w:val="1"/>
    </w:pPr>
    <w:rPr/>
  </w:style>
  <w:style w:type="paragraph" w:styleId="Heading3">
    <w:name w:val="heading 3"/>
    <w:basedOn w:val="HeadingBase"/>
    <w:next w:val="BodyText"/>
    <w:qFormat/>
    <w:pPr>
      <w:numPr>
        <w:ilvl w:val="2"/>
        <w:numId w:val="1"/>
      </w:numPr>
      <w:ind w:hanging="0" w:start="360" w:end="0"/>
      <w:outlineLvl w:val="2"/>
    </w:pPr>
    <w:rPr>
      <w:spacing w:val="-5"/>
    </w:rPr>
  </w:style>
  <w:style w:type="paragraph" w:styleId="Heading4">
    <w:name w:val="heading 4"/>
    <w:basedOn w:val="HeadingBase"/>
    <w:next w:val="BodyText"/>
    <w:qFormat/>
    <w:pPr>
      <w:numPr>
        <w:ilvl w:val="3"/>
        <w:numId w:val="1"/>
      </w:numPr>
      <w:ind w:hanging="0" w:start="720" w:end="0"/>
      <w:outlineLvl w:val="3"/>
    </w:pPr>
    <w:rPr>
      <w:spacing w:val="-2"/>
      <w:sz w:val="18"/>
    </w:rPr>
  </w:style>
  <w:style w:type="paragraph" w:styleId="Heading5">
    <w:name w:val="heading 5"/>
    <w:basedOn w:val="HeadingBase"/>
    <w:next w:val="BodyText"/>
    <w:qFormat/>
    <w:pPr>
      <w:numPr>
        <w:ilvl w:val="4"/>
        <w:numId w:val="1"/>
      </w:numPr>
      <w:ind w:hanging="0" w:start="1080" w:end="0"/>
      <w:outlineLvl w:val="4"/>
    </w:pPr>
    <w:rPr>
      <w:spacing w:val="-2"/>
      <w:sz w:val="18"/>
    </w:rPr>
  </w:style>
  <w:style w:type="paragraph" w:styleId="Heading6">
    <w:name w:val="heading 6"/>
    <w:basedOn w:val="HeadingBase"/>
    <w:next w:val="BodyText"/>
    <w:qFormat/>
    <w:pPr>
      <w:numPr>
        <w:ilvl w:val="5"/>
        <w:numId w:val="1"/>
      </w:numPr>
      <w:ind w:hanging="0" w:start="1440" w:end="0"/>
      <w:outlineLvl w:val="5"/>
    </w:pPr>
    <w:rPr>
      <w:spacing w:val="-4"/>
      <w:sz w:val="18"/>
    </w:rPr>
  </w:style>
  <w:style w:type="paragraph" w:styleId="Heading7">
    <w:name w:val="heading 7"/>
    <w:basedOn w:val="HeadingBase"/>
    <w:next w:val="BodyText"/>
    <w:qFormat/>
    <w:pPr>
      <w:numPr>
        <w:ilvl w:val="6"/>
        <w:numId w:val="1"/>
      </w:numPr>
      <w:ind w:hanging="0" w:start="1800" w:end="0"/>
      <w:outlineLvl w:val="6"/>
    </w:pPr>
    <w:rPr>
      <w:spacing w:val="-4"/>
      <w:sz w:val="18"/>
    </w:rPr>
  </w:style>
  <w:style w:type="paragraph" w:styleId="Heading8">
    <w:name w:val="heading 8"/>
    <w:basedOn w:val="HeadingBase"/>
    <w:next w:val="BodyText"/>
    <w:qFormat/>
    <w:pPr>
      <w:numPr>
        <w:ilvl w:val="7"/>
        <w:numId w:val="1"/>
      </w:numPr>
      <w:ind w:hanging="0" w:start="2160" w:end="0"/>
      <w:outlineLvl w:val="7"/>
    </w:pPr>
    <w:rPr>
      <w:spacing w:val="-4"/>
      <w:sz w:val="18"/>
    </w:rPr>
  </w:style>
  <w:style w:type="paragraph" w:styleId="Heading9">
    <w:name w:val="heading 9"/>
    <w:basedOn w:val="HeadingBase"/>
    <w:next w:val="BodyText"/>
    <w:qFormat/>
    <w:pPr>
      <w:numPr>
        <w:ilvl w:val="8"/>
        <w:numId w:val="1"/>
      </w:numPr>
      <w:ind w:hanging="0" w:start="2520" w:end="0"/>
      <w:outlineLvl w:val="8"/>
    </w:pPr>
    <w:rPr>
      <w:spacing w:val="-4"/>
      <w:sz w:val="18"/>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Times New Roman" w:hAnsi="Times New Roman" w:cs="Times New Roman"/>
      <w:b/>
      <w:i w:val="false"/>
      <w:caps/>
      <w:sz w:val="24"/>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DefaultParagraphFont">
    <w:name w:val="Default Paragraph Font"/>
    <w:qFormat/>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Lead-inEmphasis">
    <w:name w:val="Lead-in Emphasis"/>
    <w:qFormat/>
    <w:rPr>
      <w:rFonts w:ascii="Arial Black" w:hAnsi="Arial Black" w:cs="Arial Black"/>
      <w:sz w:val="18"/>
    </w:rPr>
  </w:style>
  <w:style w:type="character" w:styleId="LineNumber">
    <w:name w:val="line number"/>
    <w:rPr>
      <w:sz w:val="18"/>
    </w:rPr>
  </w:style>
  <w:style w:type="character" w:styleId="PageNumber">
    <w:name w:val="page number"/>
    <w:rPr>
      <w:sz w:val="18"/>
    </w:rPr>
  </w:style>
  <w:style w:type="character" w:styleId="Superscript">
    <w:name w:val="Superscript"/>
    <w:qFormat/>
    <w:rPr>
      <w:vertAlign w:val="superscript"/>
    </w:rPr>
  </w:style>
  <w:style w:type="character" w:styleId="MessageHeaderLabel">
    <w:name w:val="Message Header Label"/>
    <w:qFormat/>
    <w:rPr>
      <w:rFonts w:ascii="Arial Black" w:hAnsi="Arial Black" w:cs="Arial Black"/>
      <w:spacing w:val="-10"/>
      <w:sz w:val="18"/>
    </w:rPr>
  </w:style>
  <w:style w:type="character" w:styleId="Emphasis">
    <w:name w:val="Emphasis"/>
    <w:qFormat/>
    <w:rPr>
      <w:rFonts w:ascii="Arial Black" w:hAnsi="Arial Black" w:cs="Arial Black"/>
      <w:sz w:val="18"/>
    </w:rPr>
  </w:style>
  <w:style w:type="character" w:styleId="CommentReference">
    <w:name w:val="Comment Reference"/>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style>
  <w:style w:type="paragraph" w:styleId="List">
    <w:name w:val="List"/>
    <w:basedOn w:val="BodyText"/>
    <w:pPr>
      <w:ind w:hanging="360" w:start="360" w:end="0"/>
    </w:pPr>
    <w:rPr/>
  </w:style>
  <w:style w:type="paragraph" w:styleId="Caption">
    <w:name w:val="caption"/>
    <w:basedOn w:val="Picture"/>
    <w:next w:val="BodyText"/>
    <w:qFormat/>
    <w:pPr>
      <w:spacing w:lineRule="atLeast" w:line="220"/>
    </w:pPr>
    <w:rPr>
      <w:i/>
      <w:sz w:val="18"/>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FootnoteBase">
    <w:name w:val="Footnote Base"/>
    <w:basedOn w:val="BodyText"/>
    <w:qFormat/>
    <w:pPr>
      <w:keepLines/>
      <w:spacing w:lineRule="atLeast" w:line="200"/>
    </w:pPr>
    <w:rPr>
      <w:sz w:val="16"/>
    </w:rPr>
  </w:style>
  <w:style w:type="paragraph" w:styleId="MessageHeader">
    <w:name w:val="Message Header"/>
    <w:basedOn w:val="BodyText"/>
    <w:qFormat/>
    <w:pPr>
      <w:keepLines/>
      <w:tabs>
        <w:tab w:val="clear" w:pos="360"/>
        <w:tab w:val="left" w:pos="720" w:leader="none"/>
      </w:tabs>
      <w:spacing w:before="0" w:after="120"/>
      <w:ind w:hanging="720" w:start="720" w:end="0"/>
      <w:jc w:val="start"/>
    </w:pPr>
    <w:rPr/>
  </w:style>
  <w:style w:type="paragraph" w:styleId="BlockQuotation">
    <w:name w:val="Block Quotation"/>
    <w:basedOn w:val="BodyText"/>
    <w:qFormat/>
    <w:pPr>
      <w:keepLines/>
      <w:ind w:hanging="0" w:start="720" w:end="720"/>
    </w:pPr>
    <w:rPr/>
  </w:style>
  <w:style w:type="paragraph" w:styleId="BodyTextKeep">
    <w:name w:val="Body Text Keep"/>
    <w:basedOn w:val="BodyText"/>
    <w:qFormat/>
    <w:pPr>
      <w:keepNext w:val="true"/>
    </w:pPr>
    <w:rPr/>
  </w:style>
  <w:style w:type="paragraph" w:styleId="Picture">
    <w:name w:val="Picture"/>
    <w:basedOn w:val="Normal"/>
    <w:next w:val="Caption"/>
    <w:qFormat/>
    <w:pPr>
      <w:keepNext w:val="true"/>
    </w:pPr>
    <w:rPr/>
  </w:style>
  <w:style w:type="paragraph" w:styleId="DocumentLabel">
    <w:name w:val="Document Label"/>
    <w:basedOn w:val="HeadingBase"/>
    <w:next w:val="MessageHeaderFirst"/>
    <w:qFormat/>
    <w:pPr>
      <w:spacing w:lineRule="atLeast" w:line="240" w:before="400" w:after="120"/>
      <w:ind w:hanging="0" w:start="-840" w:end="0"/>
    </w:pPr>
    <w:rPr>
      <w:spacing w:val="0"/>
      <w:sz w:val="108"/>
    </w:rPr>
  </w:style>
  <w:style w:type="paragraph" w:styleId="MessageHeaderFirst">
    <w:name w:val="Message Header First"/>
    <w:basedOn w:val="MessageHeader"/>
    <w:next w:val="MessageHeader"/>
    <w:qFormat/>
    <w:pPr>
      <w:spacing w:before="220" w:after="120"/>
    </w:pPr>
    <w:rPr/>
  </w:style>
  <w:style w:type="paragraph" w:styleId="EndnoteText">
    <w:name w:val="endnote text"/>
    <w:basedOn w:val="FootnoteBase"/>
    <w:pPr/>
    <w:rPr/>
  </w:style>
  <w:style w:type="paragraph" w:styleId="HeaderBase">
    <w:name w:val="Header Base"/>
    <w:basedOn w:val="BodyText"/>
    <w:qFormat/>
    <w:pPr>
      <w:keepLines/>
      <w:tabs>
        <w:tab w:val="clear" w:pos="360"/>
        <w:tab w:val="center" w:pos="4320" w:leader="none"/>
        <w:tab w:val="right" w:pos="8640" w:leader="none"/>
      </w:tabs>
      <w:spacing w:before="0" w:after="0"/>
    </w:pPr>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Footer">
    <w:name w:val="footer"/>
    <w:basedOn w:val="HeaderBase"/>
    <w:pPr>
      <w:spacing w:lineRule="atLeast" w:line="180" w:before="600" w:after="0"/>
      <w:ind w:hanging="0" w:start="0" w:end="0"/>
    </w:pPr>
    <w:rPr>
      <w:sz w:val="18"/>
    </w:rPr>
  </w:style>
  <w:style w:type="paragraph" w:styleId="FootnoteText">
    <w:name w:val="footnote text"/>
    <w:basedOn w:val="FootnoteBase"/>
    <w:pPr/>
    <w:rPr/>
  </w:style>
  <w:style w:type="paragraph" w:styleId="Header">
    <w:name w:val="header"/>
    <w:basedOn w:val="HeaderBase"/>
    <w:pPr>
      <w:spacing w:lineRule="atLeast" w:line="180" w:before="0" w:after="600"/>
      <w:ind w:hanging="0" w:start="0" w:end="0"/>
    </w:pPr>
    <w:rPr/>
  </w:style>
  <w:style w:type="paragraph" w:styleId="ListBullet">
    <w:name w:val="List Bullet"/>
    <w:basedOn w:val="List"/>
    <w:qFormat/>
    <w:pPr>
      <w:numPr>
        <w:ilvl w:val="0"/>
        <w:numId w:val="12"/>
      </w:numPr>
      <w:ind w:hanging="360" w:start="720" w:end="720"/>
    </w:pPr>
    <w:rPr/>
  </w:style>
  <w:style w:type="paragraph" w:styleId="ListNumber">
    <w:name w:val="List Number"/>
    <w:basedOn w:val="List"/>
    <w:qFormat/>
    <w:pPr>
      <w:numPr>
        <w:ilvl w:val="0"/>
        <w:numId w:val="13"/>
      </w:numPr>
      <w:ind w:hanging="360" w:start="720" w:end="720"/>
    </w:pPr>
    <w:rPr/>
  </w:style>
  <w:style w:type="paragraph" w:styleId="MacroText">
    <w:name w:val="Macro Text"/>
    <w:basedOn w:val="BodyText"/>
    <w:qFormat/>
    <w:pPr>
      <w:spacing w:lineRule="auto" w:line="240"/>
      <w:jc w:val="start"/>
    </w:pPr>
    <w:rPr>
      <w:rFonts w:ascii="Courier New" w:hAnsi="Courier New" w:cs="Courier New"/>
    </w:rPr>
  </w:style>
  <w:style w:type="paragraph" w:styleId="ListNumber5">
    <w:name w:val="List Number 5"/>
    <w:basedOn w:val="ListNumber"/>
    <w:qFormat/>
    <w:pPr>
      <w:numPr>
        <w:ilvl w:val="0"/>
        <w:numId w:val="14"/>
      </w:numPr>
      <w:ind w:hanging="360" w:start="2160" w:end="720"/>
    </w:pPr>
    <w:rPr/>
  </w:style>
  <w:style w:type="paragraph" w:styleId="Date">
    <w:name w:val="Date"/>
    <w:basedOn w:val="BodyText"/>
    <w:qFormat/>
    <w:pPr>
      <w:spacing w:before="0" w:after="0"/>
      <w:jc w:val="start"/>
    </w:pPr>
    <w:rPr/>
  </w:style>
  <w:style w:type="paragraph" w:styleId="ListNumber2">
    <w:name w:val="List Number 2"/>
    <w:basedOn w:val="ListNumber"/>
    <w:qFormat/>
    <w:pPr>
      <w:numPr>
        <w:ilvl w:val="0"/>
        <w:numId w:val="15"/>
      </w:numPr>
      <w:ind w:hanging="360" w:start="1080" w:end="720"/>
    </w:pPr>
    <w:rPr/>
  </w:style>
  <w:style w:type="paragraph" w:styleId="ListNumber3">
    <w:name w:val="List Number 3"/>
    <w:basedOn w:val="ListNumber"/>
    <w:qFormat/>
    <w:pPr>
      <w:numPr>
        <w:ilvl w:val="0"/>
        <w:numId w:val="16"/>
      </w:numPr>
      <w:ind w:hanging="360" w:start="1440" w:end="720"/>
    </w:pPr>
    <w:rPr/>
  </w:style>
  <w:style w:type="paragraph" w:styleId="ListBullet5">
    <w:name w:val="List Bullet 5"/>
    <w:basedOn w:val="List"/>
    <w:pPr>
      <w:ind w:hanging="360" w:start="1800" w:end="0"/>
    </w:pPr>
    <w:rPr/>
  </w:style>
  <w:style w:type="paragraph" w:styleId="ListBullet4">
    <w:name w:val="List Bullet 4"/>
    <w:basedOn w:val="List"/>
    <w:pPr>
      <w:ind w:hanging="360" w:start="1440" w:end="0"/>
    </w:pPr>
    <w:rPr/>
  </w:style>
  <w:style w:type="paragraph" w:styleId="ListBullet3">
    <w:name w:val="List Bullet 3"/>
    <w:basedOn w:val="List"/>
    <w:pPr>
      <w:ind w:hanging="360" w:start="1080" w:end="0"/>
    </w:pPr>
    <w:rPr/>
  </w:style>
  <w:style w:type="paragraph" w:styleId="ListBullet2">
    <w:name w:val="List Bullet 2"/>
    <w:basedOn w:val="List"/>
    <w:pPr>
      <w:ind w:hanging="360" w:start="720" w:end="0"/>
    </w:pPr>
    <w:rPr/>
  </w:style>
  <w:style w:type="paragraph" w:styleId="Closing">
    <w:name w:val="Closing"/>
    <w:basedOn w:val="Normal"/>
    <w:qFormat/>
    <w:pPr>
      <w:keepNext w:val="true"/>
      <w:spacing w:lineRule="atLeast" w:line="220"/>
    </w:pPr>
    <w:rPr/>
  </w:style>
  <w:style w:type="paragraph" w:styleId="CommentText">
    <w:name w:val="Comment Text"/>
    <w:basedOn w:val="FootnoteBase"/>
    <w:qFormat/>
    <w:pPr/>
    <w:rPr/>
  </w:style>
  <w:style w:type="paragraph" w:styleId="BodyTextIndent">
    <w:name w:val="Body Text Indent"/>
    <w:basedOn w:val="BodyText"/>
    <w:pPr>
      <w:ind w:hanging="0" w:start="360" w:end="0"/>
    </w:pPr>
    <w:rPr/>
  </w:style>
  <w:style w:type="paragraph" w:styleId="NormalIndent">
    <w:name w:val="Normal Indent"/>
    <w:basedOn w:val="Normal"/>
    <w:qFormat/>
    <w:pPr>
      <w:ind w:hanging="0" w:start="720" w:end="0"/>
    </w:pPr>
    <w:rPr/>
  </w:style>
  <w:style w:type="paragraph" w:styleId="ListContinue">
    <w:name w:val="List Continue"/>
    <w:basedOn w:val="List"/>
    <w:qFormat/>
    <w:pPr>
      <w:ind w:hanging="0" w:start="720" w:end="720"/>
    </w:pPr>
    <w:rPr/>
  </w:style>
  <w:style w:type="paragraph" w:styleId="ListContinue2">
    <w:name w:val="List Continue 2"/>
    <w:basedOn w:val="ListContinue"/>
    <w:qFormat/>
    <w:pPr>
      <w:ind w:hanging="0" w:start="1080" w:end="720"/>
    </w:pPr>
    <w:rPr/>
  </w:style>
  <w:style w:type="paragraph" w:styleId="ListContinue3">
    <w:name w:val="List Continue 3"/>
    <w:basedOn w:val="ListContinue"/>
    <w:qFormat/>
    <w:pPr>
      <w:ind w:hanging="0" w:start="1440" w:end="720"/>
    </w:pPr>
    <w:rPr/>
  </w:style>
  <w:style w:type="paragraph" w:styleId="ListContinue4">
    <w:name w:val="List Continue 4"/>
    <w:basedOn w:val="ListContinue"/>
    <w:qFormat/>
    <w:pPr>
      <w:ind w:hanging="0" w:start="1800" w:end="720"/>
    </w:pPr>
    <w:rPr/>
  </w:style>
  <w:style w:type="paragraph" w:styleId="ListContinue5">
    <w:name w:val="List Continue 5"/>
    <w:basedOn w:val="ListContinue"/>
    <w:qFormat/>
    <w:pPr>
      <w:ind w:hanging="0" w:start="2160" w:end="720"/>
    </w:pPr>
    <w:rPr/>
  </w:style>
  <w:style w:type="paragraph" w:styleId="ReturnAddress">
    <w:name w:val="Return Address"/>
    <w:basedOn w:val="Normal"/>
    <w:qFormat/>
    <w:pPr>
      <w:keepLines/>
      <w:tabs>
        <w:tab w:val="clear" w:pos="360"/>
        <w:tab w:val="left" w:pos="2640" w:leader="none"/>
      </w:tabs>
      <w:spacing w:lineRule="atLeast" w:line="200"/>
    </w:pPr>
    <w:rPr>
      <w:spacing w:val="-2"/>
      <w:sz w:val="16"/>
    </w:rPr>
  </w:style>
  <w:style w:type="paragraph" w:styleId="CompanyName">
    <w:name w:val="Company Name"/>
    <w:basedOn w:val="ReturnAddress"/>
    <w:qFormat/>
    <w:pPr>
      <w:keepLines/>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Enclosure">
    <w:name w:val="Enclosure"/>
    <w:basedOn w:val="BodyText"/>
    <w:next w:val="Normal"/>
    <w:qFormat/>
    <w:pPr>
      <w:keepLines/>
      <w:spacing w:before="220" w:after="220"/>
      <w:jc w:val="start"/>
    </w:pPr>
    <w:rPr/>
  </w:style>
  <w:style w:type="paragraph" w:styleId="ReferenceInitials">
    <w:name w:val="Reference Initials"/>
    <w:basedOn w:val="BodyText"/>
    <w:next w:val="Enclosure"/>
    <w:qFormat/>
    <w:pPr>
      <w:keepNext w:val="true"/>
      <w:keepLines/>
      <w:spacing w:before="0" w:after="0"/>
    </w:pPr>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ReferenceInitials"/>
    <w:qFormat/>
    <w:pPr>
      <w:spacing w:before="0" w:after="0"/>
      <w:jc w:val="start"/>
    </w:pPr>
    <w:rPr/>
  </w:style>
  <w:style w:type="paragraph" w:styleId="SignatureName">
    <w:name w:val="Signature Name"/>
    <w:basedOn w:val="Signature"/>
    <w:next w:val="SignatureJobTitle"/>
    <w:qFormat/>
    <w:pPr>
      <w:spacing w:before="720" w:after="0"/>
      <w:jc w:val="start"/>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EnvelopeAddress">
    <w:name w:val="envelope address"/>
    <w:basedOn w:val="Normal"/>
    <w:pPr>
      <w:ind w:hanging="0" w:start="2880" w:end="0"/>
    </w:pPr>
    <w:rPr>
      <w:sz w:val="24"/>
    </w:rPr>
  </w:style>
  <w:style w:type="paragraph" w:styleId="EnvelopeReturn">
    <w:name w:val="envelope return"/>
    <w:basedOn w:val="Normal"/>
    <w:pPr>
      <w:ind w:hanging="0" w:start="0" w:end="0"/>
    </w:pPr>
    <w:rPr/>
  </w:style>
  <w:style w:type="paragraph" w:styleId="CK1">
    <w:name w:val="CK1"/>
    <w:basedOn w:val="Normal"/>
    <w:qFormat/>
    <w:pPr>
      <w:keepNext w:val="true"/>
      <w:numPr>
        <w:ilvl w:val="0"/>
        <w:numId w:val="2"/>
      </w:numPr>
      <w:spacing w:before="240" w:after="240"/>
      <w:jc w:val="center"/>
    </w:pPr>
    <w:rPr>
      <w:rFonts w:ascii="Times New Roman" w:hAnsi="Times New Roman" w:cs="Times New Roman"/>
      <w:b/>
      <w:caps/>
      <w:spacing w:val="-3"/>
      <w:sz w:val="24"/>
      <w:lang w:val="en-GB"/>
    </w:rPr>
  </w:style>
  <w:style w:type="paragraph" w:styleId="ListNumber4">
    <w:name w:val="List Number 4"/>
    <w:basedOn w:val="ListNumber"/>
    <w:qFormat/>
    <w:pPr>
      <w:ind w:hanging="360" w:start="1800" w:end="720"/>
    </w:pPr>
    <w:rPr/>
  </w:style>
  <w:style w:type="paragraph" w:styleId="ListBullet51">
    <w:name w:val="List Bullet 51"/>
    <w:basedOn w:val="ListBullet"/>
    <w:qFormat/>
    <w:pPr>
      <w:ind w:hanging="360" w:start="2160" w:end="720"/>
    </w:pPr>
    <w:rPr/>
  </w:style>
  <w:style w:type="paragraph" w:styleId="ListBullet21">
    <w:name w:val="List Bullet 21"/>
    <w:basedOn w:val="ListBullet"/>
    <w:qFormat/>
    <w:pPr>
      <w:ind w:hanging="360" w:start="1080" w:end="720"/>
    </w:pPr>
    <w:rPr/>
  </w:style>
  <w:style w:type="paragraph" w:styleId="ListBullet31">
    <w:name w:val="List Bullet 31"/>
    <w:basedOn w:val="ListBullet"/>
    <w:qFormat/>
    <w:pPr>
      <w:ind w:hanging="360" w:start="1440" w:end="720"/>
    </w:pPr>
    <w:rPr/>
  </w:style>
  <w:style w:type="paragraph" w:styleId="ListBullet41">
    <w:name w:val="List Bullet 41"/>
    <w:basedOn w:val="ListBullet"/>
    <w:qFormat/>
    <w:pPr>
      <w:ind w:hanging="360" w:start="1800" w:end="720"/>
    </w:pPr>
    <w:rPr/>
  </w:style>
  <w:style w:type="paragraph" w:styleId="CK2">
    <w:name w:val="CK2"/>
    <w:basedOn w:val="Normal"/>
    <w:qFormat/>
    <w:pPr>
      <w:keepNext w:val="true"/>
      <w:numPr>
        <w:ilvl w:val="0"/>
        <w:numId w:val="9"/>
      </w:numPr>
      <w:spacing w:before="0" w:after="240"/>
      <w:ind w:hanging="0" w:start="0" w:end="0"/>
      <w:jc w:val="both"/>
    </w:pPr>
    <w:rPr>
      <w:rFonts w:ascii="Times New Roman" w:hAnsi="Times New Roman" w:cs="Times New Roman"/>
      <w:spacing w:val="-3"/>
      <w:sz w:val="24"/>
      <w:lang w:val="en-GB"/>
    </w:rPr>
  </w:style>
  <w:style w:type="paragraph" w:styleId="CK3">
    <w:name w:val="CK3"/>
    <w:basedOn w:val="Normal"/>
    <w:qFormat/>
    <w:pPr>
      <w:numPr>
        <w:ilvl w:val="0"/>
        <w:numId w:val="6"/>
      </w:numPr>
      <w:spacing w:before="0" w:after="240"/>
      <w:jc w:val="both"/>
    </w:pPr>
    <w:rPr>
      <w:rFonts w:ascii="Times New Roman" w:hAnsi="Times New Roman" w:cs="Times New Roman"/>
      <w:spacing w:val="-3"/>
      <w:sz w:val="24"/>
      <w:lang w:val="en-GB"/>
    </w:rPr>
  </w:style>
  <w:style w:type="paragraph" w:styleId="CK4">
    <w:name w:val="CK4"/>
    <w:basedOn w:val="Normal"/>
    <w:qFormat/>
    <w:pPr>
      <w:numPr>
        <w:ilvl w:val="0"/>
        <w:numId w:val="3"/>
      </w:numPr>
      <w:spacing w:before="0" w:after="240"/>
      <w:jc w:val="both"/>
    </w:pPr>
    <w:rPr>
      <w:rFonts w:ascii="Times New Roman" w:hAnsi="Times New Roman" w:cs="Times New Roman"/>
      <w:spacing w:val="-3"/>
      <w:sz w:val="24"/>
      <w:lang w:val="en-GB"/>
    </w:rPr>
  </w:style>
  <w:style w:type="paragraph" w:styleId="CK5">
    <w:name w:val="CK5"/>
    <w:basedOn w:val="Normal"/>
    <w:qFormat/>
    <w:pPr>
      <w:numPr>
        <w:ilvl w:val="0"/>
        <w:numId w:val="7"/>
      </w:numPr>
      <w:spacing w:before="0" w:after="240"/>
      <w:jc w:val="both"/>
    </w:pPr>
    <w:rPr>
      <w:rFonts w:ascii="Times New Roman" w:hAnsi="Times New Roman" w:cs="Times New Roman"/>
      <w:spacing w:val="-3"/>
      <w:sz w:val="24"/>
      <w:lang w:val="en-G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Externalmemo</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2000-09-29T13:46:00Z</dcterms:created>
  <dc:creator>Paul McMillan</dc:creator>
  <dc:description/>
  <dc:language>en-CA</dc:language>
  <cp:lastModifiedBy>Paul McMillan</cp:lastModifiedBy>
  <cp:lastPrinted>1998-02-02T11:46:00Z</cp:lastPrinted>
  <dcterms:modified xsi:type="dcterms:W3CDTF">2000-09-29T14:09:00Z</dcterms:modified>
  <cp:revision>3</cp:revision>
  <dc:subject/>
  <dc:title>Professional Memo</dc:title>
</cp:coreProperties>
</file>