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28"/>
        </w:rPr>
      </w:pPr>
      <w:r>
        <w:rPr>
          <w:sz w:val="28"/>
        </w:rPr>
        <w:t>UNITED STATES OF AMERICA</w:t>
      </w:r>
    </w:p>
    <w:p>
      <w:pPr>
        <w:pStyle w:val="Normal"/>
        <w:numPr>
          <w:ilvl w:val="0"/>
          <w:numId w:val="0"/>
        </w:numPr>
        <w:jc w:val="center"/>
        <w:outlineLvl w:val="0"/>
        <w:rPr>
          <w:b/>
          <w:sz w:val="28"/>
        </w:rPr>
      </w:pPr>
      <w:r>
        <w:rPr>
          <w:b/>
          <w:sz w:val="28"/>
        </w:rPr>
        <w:t>BEFORE THE</w:t>
      </w:r>
    </w:p>
    <w:p>
      <w:pPr>
        <w:pStyle w:val="Heading2"/>
        <w:ind w:hanging="0" w:start="0"/>
        <w:rPr>
          <w:sz w:val="28"/>
        </w:rPr>
      </w:pPr>
      <w:r>
        <w:rPr>
          <w:sz w:val="28"/>
        </w:rPr>
        <w:t>FEDERAL ENERGY REGULATORY COMMISSION</w:t>
      </w:r>
    </w:p>
    <w:p>
      <w:pPr>
        <w:pStyle w:val="Normal"/>
        <w:tabs>
          <w:tab w:val="clear" w:pos="720"/>
          <w:tab w:val="right" w:pos="9360" w:leader="none"/>
        </w:tabs>
        <w:rPr>
          <w:b/>
          <w:bCs/>
        </w:rPr>
      </w:pPr>
      <w:r>
        <w:rPr>
          <w:b/>
          <w:bCs/>
        </w:rPr>
      </w:r>
    </w:p>
    <w:p>
      <w:pPr>
        <w:pStyle w:val="Normal"/>
        <w:jc w:val="both"/>
        <w:rPr>
          <w:b/>
          <w:bCs/>
        </w:rPr>
      </w:pPr>
      <w:r>
        <w:rPr>
          <w:b/>
          <w:bCs/>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57150</wp:posOffset>
                </wp:positionV>
                <wp:extent cx="5943600" cy="0"/>
                <wp:effectExtent l="0" t="19050" r="0" b="19050"/>
                <wp:wrapNone/>
                <wp:docPr id="1"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4.5pt" to="467.95pt,4.5pt" stroked="t" o:allowincell="f" style="position:absolute">
                <v:stroke color="black" weight="38160" joinstyle="miter" endcap="flat"/>
                <v:fill o:detectmouseclick="t" on="false"/>
                <w10:wrap type="none"/>
              </v:line>
            </w:pict>
          </mc:Fallback>
        </mc:AlternateContent>
      </w:r>
    </w:p>
    <w:p>
      <w:pPr>
        <w:pStyle w:val="Heading3"/>
        <w:ind w:hanging="0" w:start="0" w:end="0"/>
        <w:rPr/>
      </w:pPr>
      <w:r>
        <w:rPr/>
      </w:r>
    </w:p>
    <w:p>
      <w:pPr>
        <w:pStyle w:val="Normal"/>
        <w:tabs>
          <w:tab w:val="clear" w:pos="720"/>
          <w:tab w:val="center" w:pos="5400" w:leader="none"/>
          <w:tab w:val="right" w:pos="9180" w:leader="none"/>
        </w:tabs>
        <w:jc w:val="both"/>
        <w:rPr>
          <w:b/>
          <w:smallCaps/>
        </w:rPr>
      </w:pPr>
      <w:r>
        <w:rPr>
          <w:b/>
          <w:smallCaps/>
        </w:rPr>
        <w:t>California Independent System</w:t>
        <w:tab/>
        <w:t xml:space="preserve">| </w:t>
        <w:tab/>
        <w:t>Docket No. ER01-607-000</w:t>
      </w:r>
    </w:p>
    <w:p>
      <w:pPr>
        <w:pStyle w:val="Normal"/>
        <w:tabs>
          <w:tab w:val="clear" w:pos="720"/>
          <w:tab w:val="center" w:pos="5400" w:leader="none"/>
          <w:tab w:val="right" w:pos="9180" w:leader="none"/>
        </w:tabs>
        <w:jc w:val="both"/>
        <w:rPr>
          <w:b/>
          <w:smallCaps/>
        </w:rPr>
      </w:pPr>
      <w:r>
        <w:rPr>
          <w:rFonts w:eastAsia="Arial"/>
          <w:b/>
          <w:smallCaps/>
        </w:rPr>
        <w:t xml:space="preserve">    </w:t>
      </w:r>
      <w:r>
        <w:rPr>
          <w:b/>
          <w:smallCaps/>
        </w:rPr>
        <w:t>Operator Corporation</w:t>
        <w:tab/>
        <w:t>|</w:t>
      </w:r>
    </w:p>
    <w:p>
      <w:pPr>
        <w:pStyle w:val="Normal"/>
        <w:rPr>
          <w:b/>
          <w:smallCaps/>
        </w:rPr>
      </w:pPr>
      <w:r>
        <w:rPr>
          <w:b/>
          <w:smallCaps/>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15240</wp:posOffset>
                </wp:positionV>
                <wp:extent cx="5943600" cy="0"/>
                <wp:effectExtent l="0" t="19050" r="0" b="19050"/>
                <wp:wrapNone/>
                <wp:docPr id="2"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black" weight="38160" joinstyle="miter" endcap="flat"/>
                <v:fill o:detectmouseclick="t" on="false"/>
                <w10:wrap type="none"/>
              </v:line>
            </w:pict>
          </mc:Fallback>
        </mc:AlternateContent>
      </w:r>
    </w:p>
    <w:p>
      <w:pPr>
        <w:pStyle w:val="Normal"/>
        <w:jc w:val="both"/>
        <w:rPr/>
      </w:pPr>
      <w:r>
        <w:rPr/>
      </w:r>
    </w:p>
    <w:p>
      <w:pPr>
        <w:pStyle w:val="Heading6"/>
        <w:ind w:hanging="0" w:start="0"/>
        <w:rPr>
          <w:sz w:val="28"/>
        </w:rPr>
      </w:pPr>
      <w:r>
        <w:rPr>
          <w:sz w:val="28"/>
        </w:rPr>
        <w:t>CALIFORNIA POWER EXCHANGE CORPORATION’s</w:t>
      </w:r>
    </w:p>
    <w:p>
      <w:pPr>
        <w:pStyle w:val="Heading6"/>
        <w:ind w:hanging="0" w:start="0"/>
        <w:rPr/>
      </w:pPr>
      <w:r>
        <w:rPr>
          <w:sz w:val="28"/>
        </w:rPr>
        <w:t>MOTION</w:t>
      </w:r>
      <w:r>
        <w:rPr>
          <w:b w:val="false"/>
          <w:bCs/>
        </w:rPr>
        <w:t xml:space="preserve"> </w:t>
      </w:r>
      <w:r>
        <w:rPr>
          <w:sz w:val="28"/>
        </w:rPr>
        <w:t>TO</w:t>
      </w:r>
      <w:r>
        <w:rPr>
          <w:b w:val="false"/>
          <w:bCs/>
        </w:rPr>
        <w:t xml:space="preserve"> </w:t>
      </w:r>
      <w:r>
        <w:rPr>
          <w:sz w:val="28"/>
        </w:rPr>
        <w:t>INTERVENE AND MOTION FOR</w:t>
      </w:r>
    </w:p>
    <w:p>
      <w:pPr>
        <w:pStyle w:val="Heading6"/>
        <w:ind w:hanging="0" w:start="0"/>
        <w:rPr/>
      </w:pPr>
      <w:r>
        <w:rPr>
          <w:sz w:val="28"/>
          <w:u w:val="single"/>
        </w:rPr>
        <w:t>EMERGENCY</w:t>
      </w:r>
      <w:r>
        <w:rPr>
          <w:sz w:val="28"/>
        </w:rPr>
        <w:t xml:space="preserve"> EXPEDITED MODIFICATION OF</w:t>
      </w:r>
    </w:p>
    <w:p>
      <w:pPr>
        <w:pStyle w:val="Normal"/>
        <w:jc w:val="center"/>
        <w:rPr>
          <w:b/>
          <w:bCs/>
          <w:sz w:val="28"/>
        </w:rPr>
      </w:pPr>
      <w:r>
        <w:rPr>
          <w:b/>
          <w:bCs/>
          <w:sz w:val="28"/>
        </w:rPr>
        <w:t>THE CAISO’s TARIFF AMENDMENT NO. 33</w:t>
      </w:r>
    </w:p>
    <w:p>
      <w:pPr>
        <w:pStyle w:val="Normal"/>
        <w:jc w:val="both"/>
        <w:rPr>
          <w:b/>
          <w:bCs/>
          <w:sz w:val="28"/>
        </w:rPr>
      </w:pPr>
      <w:r>
        <w:rPr>
          <w:b/>
          <w:bCs/>
          <w:sz w:val="28"/>
        </w:rPr>
      </w:r>
    </w:p>
    <w:p>
      <w:pPr>
        <w:pStyle w:val="Normal"/>
        <w:spacing w:lineRule="auto" w:line="480" w:before="240" w:after="0"/>
        <w:jc w:val="center"/>
        <w:rPr>
          <w:rFonts w:cs="Arial"/>
          <w:b/>
          <w:bCs/>
          <w:szCs w:val="26"/>
        </w:rPr>
      </w:pPr>
      <w:r>
        <w:rPr>
          <w:rFonts w:cs="Arial"/>
          <w:b/>
          <w:bCs/>
          <w:szCs w:val="26"/>
        </w:rPr>
        <w:t xml:space="preserve">I.  </w:t>
      </w:r>
      <w:r>
        <w:rPr>
          <w:rFonts w:cs="Arial"/>
          <w:b/>
          <w:bCs/>
          <w:szCs w:val="26"/>
          <w:u w:val="single"/>
        </w:rPr>
        <w:t>INTRODUCTION</w:t>
      </w:r>
    </w:p>
    <w:p>
      <w:pPr>
        <w:pStyle w:val="Normal"/>
        <w:spacing w:lineRule="auto" w:line="480"/>
        <w:rPr>
          <w:rFonts w:cs="Arial"/>
          <w:szCs w:val="26"/>
        </w:rPr>
      </w:pPr>
      <w:r>
        <w:rPr>
          <w:rFonts w:cs="Arial"/>
          <w:szCs w:val="26"/>
        </w:rPr>
        <w:tab/>
        <w:t>Pursuant to 18 C.F.R. §§ 385.212 and 385.214, the California Power Exchange Corporation (“CalPX”) moves to intervene in this proceeding and moves for an EMERGENCY expedited modification of the California Independent System Operator Corporation’s (“CAISO’s”) Tariff Amendment No. 33.</w:t>
      </w:r>
    </w:p>
    <w:p>
      <w:pPr>
        <w:pStyle w:val="Normal"/>
        <w:spacing w:lineRule="auto" w:line="480"/>
        <w:ind w:firstLine="720" w:end="0"/>
        <w:jc w:val="both"/>
        <w:rPr/>
      </w:pPr>
      <w:r>
        <w:rPr/>
        <w:t>CalPX is urgently requesting an emergency order of the Commission modifying Tariff Amendment No. 33 which the CAISO filed on Friday, December 8, 2000, and which the Commission authorized, without notice or opportunity for comment, on the same date.  CalPX urges the Commission to act immediately on this request because the CAISO amendment, as proposed and already implemented, threatens to bring dire, irreparable and unintended consequences to the California markets.  Most notably, the CAISO approach is resulting in prices significantly below those of surrounding markets, including the CAISO’s own out-of-market and real-time operations and other control areas.  This results in a significant supply migration out of the California forward markets.</w:t>
      </w:r>
    </w:p>
    <w:p>
      <w:pPr>
        <w:pStyle w:val="Normal"/>
        <w:spacing w:lineRule="auto" w:line="480"/>
        <w:ind w:firstLine="720" w:end="0"/>
        <w:jc w:val="both"/>
        <w:rPr/>
      </w:pPr>
      <w:r>
        <w:rPr/>
        <w:t xml:space="preserve">Specifically, CalPX notes that, in order to accomplish the very purposes that the CAISO intended to achieve, it is imperative to add one fundamental missing part to the CAISO proposal – </w:t>
      </w:r>
      <w:r>
        <w:rPr>
          <w:i/>
          <w:iCs/>
        </w:rPr>
        <w:t>i.e.</w:t>
      </w:r>
      <w:r>
        <w:rPr/>
        <w:t xml:space="preserve">, to allow the existing “hard cap” on Adjustment Bids to rise from $250 per MWh to an equivalent of the energy price, that is a floating cap.  Without immediately adding this component to the CAISO proposal, forward trading in the day-ahead and day-of markets is unlikely to occur, real-time trading will dramatically increase and real-time prices can be expected to rise well above competitive levels.  All of this is occurring </w:t>
      </w:r>
      <w:r>
        <w:rPr>
          <w:u w:val="single"/>
        </w:rPr>
        <w:t>already</w:t>
      </w:r>
      <w:r>
        <w:rPr/>
        <w:t xml:space="preserve"> as a result of the CAISO proposal, and all of this is fundamentally at odds with the CAISO’s objectives of promoting forward activity and ensuring reliability during real-time operations.  Moreover, all of this is a result of an abrupt change in approach to price caps which was not discussed with CalPX, or to CalPX’s knowledge, any other stakeholders, before being filed with the Commission.</w:t>
      </w:r>
    </w:p>
    <w:p>
      <w:pPr>
        <w:pStyle w:val="Normal"/>
        <w:spacing w:lineRule="auto" w:line="480"/>
        <w:ind w:firstLine="720" w:end="0"/>
        <w:jc w:val="both"/>
        <w:rPr/>
      </w:pPr>
      <w:r>
        <w:rPr/>
        <w:t>CalPX has discussed the need for an immediate fix to CAISO’s incomplete tariff amendment repeatedly with the CAISO since Friday, and understands from discussions that continued until this very afternoon, that the CAISO is aware of the problem created by its proposal but unwilling to remedy it with a new filing of their own.  Therefore, CalPX has no choice but to ask for that relief on behalf of its own market participants and others in California.  CalPX has been informed by several participants over the weekend that, under the CAISO proposal, they will no longer be able to bid their generating resources into the CalPX day-ahead or day-of markets.</w:t>
      </w:r>
    </w:p>
    <w:p>
      <w:pPr>
        <w:pStyle w:val="Normal"/>
        <w:spacing w:lineRule="auto" w:line="480"/>
        <w:ind w:firstLine="720" w:end="0"/>
        <w:jc w:val="center"/>
        <w:rPr>
          <w:b/>
          <w:bCs/>
        </w:rPr>
      </w:pPr>
      <w:r>
        <w:rPr>
          <w:b/>
          <w:bCs/>
        </w:rPr>
        <w:t xml:space="preserve">II.  </w:t>
      </w:r>
      <w:r>
        <w:rPr>
          <w:b/>
          <w:bCs/>
          <w:u w:val="single"/>
        </w:rPr>
        <w:t>MOTION TO INTERVENE</w:t>
      </w:r>
    </w:p>
    <w:p>
      <w:pPr>
        <w:pStyle w:val="Normal"/>
        <w:spacing w:lineRule="auto" w:line="480"/>
        <w:jc w:val="both"/>
        <w:rPr>
          <w:rFonts w:cs="Arial"/>
          <w:szCs w:val="26"/>
        </w:rPr>
      </w:pPr>
      <w:r>
        <w:rPr>
          <w:rFonts w:cs="Arial"/>
          <w:szCs w:val="26"/>
        </w:rPr>
        <w:tab/>
        <w:t>CalPX is a nonprofit public benefit corporation established by California statute as an integral part of the comprehensive restructuring of the electric utility industry in that state.  CalPX matches buyers and sellers of electric energy in the California market and operates pursuant to a tariff filed with this Commission.  CalPX is a Scheduling Coordinator (“SC”) under the CAISO’s tariff.</w:t>
      </w:r>
    </w:p>
    <w:p>
      <w:pPr>
        <w:pStyle w:val="Normal"/>
        <w:spacing w:lineRule="auto" w:line="480"/>
        <w:jc w:val="both"/>
        <w:rPr/>
      </w:pPr>
      <w:r>
        <w:rPr/>
        <w:tab/>
        <w:t xml:space="preserve">On December 8, 2000, the CAISO filed an emergency Tariff Amendment No. 33.  The Commission approved Tariff Amendment No. 33 by order issued on the same day.  Tariff Amendment No. 33 proposed three key elements.  First, the CAISO proposed a “soft cap” of $250/MWh for energy bids in its real-time markets.  Second, the CAISO proposed to allocate the costs for energy purchases above the soft cap to SCs who underschedule load or overschedule generation.  Third, the CAISO proposed to impose penalties on generators that fail to comply with CAISO dispatch instructions.  </w:t>
      </w:r>
    </w:p>
    <w:p>
      <w:pPr>
        <w:pStyle w:val="Normal"/>
        <w:spacing w:lineRule="auto" w:line="480"/>
        <w:jc w:val="both"/>
        <w:rPr>
          <w:rFonts w:cs="Arial"/>
          <w:szCs w:val="26"/>
        </w:rPr>
      </w:pPr>
      <w:r>
        <w:rPr>
          <w:rFonts w:cs="Arial"/>
          <w:szCs w:val="26"/>
        </w:rPr>
        <w:tab/>
        <w:t xml:space="preserve">CalPX is substantially affected by the CAISO’s Tariff Amendment No. 33 and therefore has a material interest in this proceeding.  No other party can adequately represent CalPX’s interests, and its participation in this case will be in the public interest.  </w:t>
      </w:r>
    </w:p>
    <w:p>
      <w:pPr>
        <w:pStyle w:val="Normal"/>
        <w:spacing w:lineRule="auto" w:line="480"/>
        <w:jc w:val="both"/>
        <w:rPr>
          <w:rFonts w:cs="Arial"/>
          <w:szCs w:val="26"/>
        </w:rPr>
      </w:pPr>
      <w:r>
        <w:rPr>
          <w:rFonts w:cs="Arial"/>
          <w:szCs w:val="26"/>
        </w:rPr>
        <w:tab/>
        <w:t>For purposes of notice and communications, CalPX requests that the following names be placed on the service list:</w:t>
      </w:r>
    </w:p>
    <w:p>
      <w:pPr>
        <w:pStyle w:val="Normal"/>
        <w:rPr>
          <w:rFonts w:cs="Arial"/>
          <w:szCs w:val="26"/>
        </w:rPr>
      </w:pPr>
      <w:r>
        <w:rPr>
          <w:rFonts w:cs="Arial"/>
          <w:szCs w:val="26"/>
        </w:rPr>
        <w:tab/>
        <w:t>Scott D. Rasmussen</w:t>
        <w:tab/>
        <w:tab/>
        <w:tab/>
        <w:t>Gene L. Waas</w:t>
      </w:r>
    </w:p>
    <w:p>
      <w:pPr>
        <w:pStyle w:val="Normal"/>
        <w:rPr>
          <w:rFonts w:cs="Arial"/>
          <w:szCs w:val="26"/>
        </w:rPr>
      </w:pPr>
      <w:r>
        <w:rPr>
          <w:rFonts w:cs="Arial"/>
          <w:szCs w:val="26"/>
        </w:rPr>
        <w:tab/>
        <w:t>General Counsel</w:t>
        <w:tab/>
        <w:tab/>
        <w:tab/>
        <w:tab/>
        <w:t>Manager of Business and Regulatory</w:t>
      </w:r>
    </w:p>
    <w:p>
      <w:pPr>
        <w:pStyle w:val="Normal"/>
        <w:rPr>
          <w:rFonts w:cs="Arial"/>
          <w:szCs w:val="26"/>
        </w:rPr>
      </w:pPr>
      <w:r>
        <w:rPr>
          <w:rFonts w:cs="Arial"/>
          <w:szCs w:val="26"/>
        </w:rPr>
        <w:tab/>
        <w:t>California Power Exchange Corp.</w:t>
        <w:tab/>
        <w:tab/>
        <w:tab/>
        <w:t>Affairs</w:t>
      </w:r>
    </w:p>
    <w:p>
      <w:pPr>
        <w:pStyle w:val="Normal"/>
        <w:rPr>
          <w:rFonts w:cs="Arial"/>
          <w:szCs w:val="26"/>
        </w:rPr>
      </w:pPr>
      <w:r>
        <w:rPr>
          <w:rFonts w:cs="Arial"/>
          <w:szCs w:val="26"/>
        </w:rPr>
        <w:tab/>
        <w:t>200 South Los Robles Avenue</w:t>
        <w:tab/>
        <w:tab/>
        <w:t>California Power Exchange Corporation</w:t>
      </w:r>
    </w:p>
    <w:p>
      <w:pPr>
        <w:pStyle w:val="Normal"/>
        <w:rPr>
          <w:rFonts w:cs="Arial"/>
          <w:szCs w:val="26"/>
        </w:rPr>
      </w:pPr>
      <w:r>
        <w:rPr>
          <w:rFonts w:cs="Arial"/>
          <w:szCs w:val="26"/>
        </w:rPr>
        <w:tab/>
        <w:t>Suite 400</w:t>
        <w:tab/>
        <w:tab/>
        <w:tab/>
        <w:tab/>
        <w:tab/>
        <w:t>200 South Los Robles Avenue</w:t>
      </w:r>
    </w:p>
    <w:p>
      <w:pPr>
        <w:pStyle w:val="Normal"/>
        <w:rPr>
          <w:rFonts w:cs="Arial"/>
          <w:szCs w:val="26"/>
        </w:rPr>
      </w:pPr>
      <w:r>
        <w:rPr>
          <w:rFonts w:cs="Arial"/>
          <w:szCs w:val="26"/>
        </w:rPr>
        <w:tab/>
        <w:t>Pasadena, California 91101-2482</w:t>
        <w:tab/>
        <w:tab/>
        <w:t>Suite 400</w:t>
      </w:r>
    </w:p>
    <w:p>
      <w:pPr>
        <w:pStyle w:val="Normal"/>
        <w:rPr/>
      </w:pPr>
      <w:r>
        <w:rPr>
          <w:rFonts w:cs="Arial"/>
        </w:rPr>
        <w:tab/>
      </w:r>
      <w:r>
        <w:rPr>
          <w:rFonts w:cs="Arial"/>
          <w:szCs w:val="26"/>
        </w:rPr>
        <w:t>Telephone:  (626) 537-3127</w:t>
        <w:tab/>
        <w:tab/>
        <w:t>Pasadena, California 91101-2482</w:t>
      </w:r>
    </w:p>
    <w:p>
      <w:pPr>
        <w:pStyle w:val="Normal"/>
        <w:rPr>
          <w:rFonts w:cs="Arial"/>
          <w:szCs w:val="26"/>
        </w:rPr>
      </w:pPr>
      <w:r>
        <w:rPr>
          <w:rFonts w:cs="Arial"/>
          <w:szCs w:val="26"/>
        </w:rPr>
        <w:tab/>
        <w:t>Facsimile:  (626) 537-3159</w:t>
        <w:tab/>
        <w:tab/>
        <w:tab/>
        <w:t>Telephone:  (626) 537-3326</w:t>
      </w:r>
    </w:p>
    <w:p>
      <w:pPr>
        <w:pStyle w:val="Normal"/>
        <w:rPr>
          <w:rFonts w:cs="Arial"/>
          <w:szCs w:val="26"/>
        </w:rPr>
      </w:pPr>
      <w:r>
        <w:rPr>
          <w:rFonts w:cs="Arial"/>
          <w:szCs w:val="26"/>
        </w:rPr>
        <w:tab/>
        <w:tab/>
        <w:tab/>
        <w:tab/>
        <w:tab/>
        <w:tab/>
        <w:tab/>
        <w:t>Facsimile:  (626) 537-3196</w:t>
      </w:r>
      <w:r>
        <w:br w:type="page"/>
      </w:r>
    </w:p>
    <w:p>
      <w:pPr>
        <w:pStyle w:val="Normal"/>
        <w:rPr>
          <w:rFonts w:cs="Arial"/>
          <w:szCs w:val="26"/>
        </w:rPr>
      </w:pPr>
      <w:r>
        <w:rPr>
          <w:rFonts w:cs="Arial"/>
          <w:szCs w:val="26"/>
        </w:rPr>
        <w:tab/>
        <w:t>David E. Goroff</w:t>
      </w:r>
    </w:p>
    <w:p>
      <w:pPr>
        <w:pStyle w:val="Normal"/>
        <w:rPr>
          <w:rFonts w:cs="Arial"/>
          <w:szCs w:val="26"/>
        </w:rPr>
      </w:pPr>
      <w:r>
        <w:rPr>
          <w:rFonts w:cs="Arial"/>
          <w:szCs w:val="26"/>
        </w:rPr>
        <w:tab/>
        <w:t>James H. McGrew</w:t>
      </w:r>
    </w:p>
    <w:p>
      <w:pPr>
        <w:pStyle w:val="Normal"/>
        <w:rPr>
          <w:rFonts w:cs="Arial"/>
          <w:szCs w:val="26"/>
        </w:rPr>
      </w:pPr>
      <w:r>
        <w:rPr>
          <w:rFonts w:cs="Arial"/>
          <w:szCs w:val="26"/>
        </w:rPr>
        <w:tab/>
        <w:t>Bruder, Gentile &amp; Marcoux, L.L.P.</w:t>
      </w:r>
    </w:p>
    <w:p>
      <w:pPr>
        <w:pStyle w:val="Normal"/>
        <w:rPr>
          <w:rFonts w:cs="Arial"/>
          <w:szCs w:val="26"/>
        </w:rPr>
      </w:pPr>
      <w:r>
        <w:rPr>
          <w:rFonts w:cs="Arial"/>
          <w:szCs w:val="26"/>
        </w:rPr>
        <w:tab/>
        <w:t>1100 New York Avenue, N.W.</w:t>
      </w:r>
    </w:p>
    <w:p>
      <w:pPr>
        <w:pStyle w:val="Normal"/>
        <w:rPr>
          <w:rFonts w:cs="Arial"/>
          <w:szCs w:val="26"/>
        </w:rPr>
      </w:pPr>
      <w:r>
        <w:rPr>
          <w:rFonts w:cs="Arial"/>
          <w:szCs w:val="26"/>
        </w:rPr>
        <w:tab/>
        <w:t>Suite 510 East</w:t>
      </w:r>
    </w:p>
    <w:p>
      <w:pPr>
        <w:pStyle w:val="Normal"/>
        <w:rPr>
          <w:rFonts w:cs="Arial"/>
          <w:szCs w:val="26"/>
        </w:rPr>
      </w:pPr>
      <w:r>
        <w:rPr>
          <w:rFonts w:cs="Arial"/>
          <w:szCs w:val="26"/>
        </w:rPr>
        <w:tab/>
        <w:t>Washington, D.C. 20005-3934</w:t>
      </w:r>
    </w:p>
    <w:p>
      <w:pPr>
        <w:pStyle w:val="Normal"/>
        <w:rPr>
          <w:rFonts w:cs="Arial"/>
          <w:szCs w:val="26"/>
        </w:rPr>
      </w:pPr>
      <w:r>
        <w:rPr>
          <w:rFonts w:cs="Arial"/>
          <w:szCs w:val="26"/>
        </w:rPr>
        <w:tab/>
        <w:t>Telephone:  (202) 783-1350</w:t>
      </w:r>
    </w:p>
    <w:p>
      <w:pPr>
        <w:pStyle w:val="Normal"/>
        <w:rPr>
          <w:rFonts w:cs="Arial"/>
          <w:szCs w:val="26"/>
        </w:rPr>
      </w:pPr>
      <w:r>
        <w:rPr>
          <w:rFonts w:cs="Arial"/>
          <w:szCs w:val="26"/>
        </w:rPr>
        <w:tab/>
        <w:t>Facsimile:  (202) 737-9117</w:t>
      </w:r>
    </w:p>
    <w:p>
      <w:pPr>
        <w:pStyle w:val="Normal"/>
        <w:rPr>
          <w:rFonts w:cs="Arial"/>
          <w:szCs w:val="26"/>
        </w:rPr>
      </w:pPr>
      <w:r>
        <w:rPr>
          <w:rFonts w:cs="Arial"/>
          <w:szCs w:val="26"/>
        </w:rPr>
      </w:r>
    </w:p>
    <w:p>
      <w:pPr>
        <w:pStyle w:val="Normal"/>
        <w:spacing w:lineRule="auto" w:line="480"/>
        <w:jc w:val="both"/>
        <w:rPr/>
      </w:pPr>
      <w:r>
        <w:rPr>
          <w:rFonts w:cs="Arial"/>
          <w:szCs w:val="26"/>
        </w:rPr>
        <w:t xml:space="preserve">CalPX respectfully requests waiver of the Commission’s regulations to permit three names to be included on the </w:t>
      </w:r>
      <w:r>
        <w:rPr/>
        <w:t>service</w:t>
      </w:r>
      <w:r>
        <w:rPr>
          <w:rFonts w:cs="Arial"/>
          <w:szCs w:val="26"/>
        </w:rPr>
        <w:t xml:space="preserve"> list to permit monitoring of this proceeding by CalPX’s General Counsel, its outside counsel, and its Manager of Business and Regulatory Affairs.</w:t>
      </w:r>
    </w:p>
    <w:p>
      <w:pPr>
        <w:pStyle w:val="Normal"/>
        <w:spacing w:lineRule="auto" w:line="480"/>
        <w:jc w:val="both"/>
        <w:rPr>
          <w:rFonts w:cs="Arial"/>
          <w:szCs w:val="26"/>
        </w:rPr>
      </w:pPr>
      <w:r>
        <w:rPr>
          <w:rFonts w:cs="Arial"/>
          <w:szCs w:val="26"/>
        </w:rPr>
        <w:tab/>
        <w:t>In order to ensure that parties are swiftly informed of this motion by CalPX, it will provide all CalPX Participants with e-mail notice to be sent on this date.  In addition, CalPX will provide hand delivery to the Washington, D.C. attorneys for CAISO together with e-mail service on the Public Utilities Commission of the State of California, the California Energy Commission, and the California Electricity Oversight Board.  In addition, CalPX will post  this motion on its website (www.calpx.com).</w:t>
      </w:r>
    </w:p>
    <w:p>
      <w:pPr>
        <w:pStyle w:val="Normal"/>
        <w:spacing w:lineRule="auto" w:line="480"/>
        <w:jc w:val="center"/>
        <w:rPr>
          <w:b/>
          <w:bCs/>
          <w:u w:val="single"/>
        </w:rPr>
      </w:pPr>
      <w:r>
        <w:rPr>
          <w:b/>
          <w:bCs/>
        </w:rPr>
        <w:t xml:space="preserve">III.  </w:t>
      </w:r>
      <w:r>
        <w:rPr>
          <w:b/>
          <w:bCs/>
          <w:u w:val="single"/>
        </w:rPr>
        <w:t>MOTION FOR EMERGENCY MODIFICATION OF TARIFF AMENDMENT NO. 33</w:t>
      </w:r>
    </w:p>
    <w:p>
      <w:pPr>
        <w:pStyle w:val="Normal"/>
        <w:spacing w:lineRule="auto" w:line="480"/>
        <w:jc w:val="both"/>
        <w:rPr>
          <w:u w:val="single"/>
        </w:rPr>
      </w:pPr>
      <w:r>
        <w:rPr/>
        <w:tab/>
      </w:r>
      <w:r>
        <w:rPr>
          <w:u w:val="single"/>
        </w:rPr>
        <w:t>The Problem in a Nutshell</w:t>
      </w:r>
      <w:r>
        <w:rPr>
          <w:rStyle w:val="FootnoteCharacters"/>
          <w:rStyle w:val="FootnoteReference"/>
        </w:rPr>
        <w:footnoteReference w:id="2"/>
      </w:r>
    </w:p>
    <w:p>
      <w:pPr>
        <w:pStyle w:val="Normal"/>
        <w:spacing w:lineRule="auto" w:line="480"/>
        <w:jc w:val="both"/>
        <w:rPr/>
      </w:pPr>
      <w:r>
        <w:rPr/>
        <w:tab/>
        <w:t xml:space="preserve">Prior to Tariff Amendment No. 33, the CAISO had imposed a “hard” cap of $250/MWh on all purchases in its markets.  In its November 1, 2000 order, the Commission permitted this hard cap to remain in effect through December 31, 2000.  </w:t>
      </w:r>
      <w:r>
        <w:rPr>
          <w:i/>
          <w:iCs/>
        </w:rPr>
        <w:t xml:space="preserve">San Diego Gas &amp; Electric Co. v. Sellers of Energy etc., </w:t>
      </w:r>
      <w:r>
        <w:rPr/>
        <w:t>93 FERC ¶ 61,121 (slip op. at 45).  Thus, the CAISO pays generators no more than $250/MWh for Adjustment Bids.  As the CAISO tariff (Schedules and Bids Protocol § 4) provides:  “Adjustment Bids are treated as standing offers to the ISO and may be used by the ISO in the Real Time Market for the purpose of managing Intra-Zonal Congestion and Overgeneration conditions.”</w:t>
      </w:r>
    </w:p>
    <w:p>
      <w:pPr>
        <w:pStyle w:val="Normal"/>
        <w:spacing w:lineRule="auto" w:line="480"/>
        <w:jc w:val="both"/>
        <w:rPr/>
      </w:pPr>
      <w:r>
        <w:rPr/>
        <w:tab/>
        <w:t>The CAISO’s Tariff Amendment No. 33 proposed, among other things, to change the hard cap on bids for Imbalance Energy into a “soft” cap of $250/MWh.  CalPX does not oppose that change.  However, the CAISO did not propose to change the currently-effective “hard” cap for Adjustment Bids in its markets, so the “hard” cap for Adjustment Bids remains at $250/MWh.  The CAISO’s failure to change the hard cap for Adjustment Bids threatens the liquidity of CalPX’s forward markets, the stability of supply and the stability of prices.</w:t>
      </w:r>
    </w:p>
    <w:p>
      <w:pPr>
        <w:pStyle w:val="Normal"/>
        <w:spacing w:lineRule="auto" w:line="480"/>
        <w:jc w:val="both"/>
        <w:rPr/>
      </w:pPr>
      <w:r>
        <w:rPr/>
        <w:tab/>
        <w:t xml:space="preserve">Because the CAISO has effectively lifted the price cap in the Imbalance Energy market, generators know that they can be paid up to the market prices for their bids into the real-time market.  However, every bid into the CalPX day-ahead and day-of markets must also contain an Adjustment Bid.  Because the hard cap for Adjustment Bids is still in effect at $250/MWh, generators know that in congestion situations they will be unable to protect their schedules at prices above $250/MWh.  Hence, it naturally behooves them not to bid into those forward markets, but rather to await CAISO real-time operations, where the Adjustment Bids do not apply and they can, therefore, recover higher market-driven prices.  The </w:t>
      </w:r>
      <w:r>
        <w:rPr>
          <w:u w:val="single"/>
        </w:rPr>
        <w:t>only</w:t>
      </w:r>
      <w:r>
        <w:rPr/>
        <w:t xml:space="preserve"> way to fix this logical disconnect is to simultaneously lift the cap on Adjustment Bids so that the unintended disincentive to bidding in the day-ahead and day-of markets is eliminated.</w:t>
      </w:r>
    </w:p>
    <w:p>
      <w:pPr>
        <w:pStyle w:val="Normal"/>
        <w:spacing w:lineRule="auto" w:line="480"/>
        <w:jc w:val="both"/>
        <w:rPr/>
      </w:pPr>
      <w:r>
        <w:rPr/>
        <w:tab/>
        <w:t xml:space="preserve">Since the CAISO began implementation of Tariff Amendment No. 33 on December 8, 2000, various generators have informed CalPX that they are reluctant to bid into the CalPX forward markets because of the continuation of the $250/MWh hard cap for Adjustment Bids.  No matter what market clearing price is established in the CalPX forward markets, suppliers can only protect their schedules at prices at or below $250/MWh during congestion management.  On the other hand, if they withhold supply and bid into the real-time market, they can receive the effective market prices for their generation.  The CAISO penalty is imposed on underscheduled load, but there is no penalty for underscheduled generation.  </w:t>
      </w:r>
    </w:p>
    <w:p>
      <w:pPr>
        <w:pStyle w:val="Normal"/>
        <w:spacing w:lineRule="auto" w:line="480"/>
        <w:ind w:firstLine="720" w:end="0"/>
        <w:rPr>
          <w:u w:val="single"/>
        </w:rPr>
      </w:pPr>
      <w:r>
        <w:rPr>
          <w:u w:val="single"/>
        </w:rPr>
        <w:t>Emergency Relief Requested</w:t>
      </w:r>
    </w:p>
    <w:p>
      <w:pPr>
        <w:pStyle w:val="Normal"/>
        <w:spacing w:lineRule="auto" w:line="480"/>
        <w:ind w:firstLine="720" w:end="0"/>
        <w:jc w:val="both"/>
        <w:rPr/>
      </w:pPr>
      <w:r>
        <w:rPr/>
        <w:t xml:space="preserve">CalPX requests an emergency order, effective as soon as possible and without waiting for responses to this motion, removing the hard cap on Adjustment Bids and replacing it with an energy price equivalent that allows forward buyers and sellers to conduct transactions, with price certainty, ahead of the CAISO real-time operations.  This will allow all suppliers to bid freely into the CalPX day-ahead and day-of markets, as intended by the Commission in its November 1, 2000 order, and as apparently intended by the CAISO, without fear that Adjustment Bids will be capped at $250/MWh in the event of congestion management.  Instead, suppliers will know that Adjustment Bids will be paid at prevailing market prices.  This modification to the CAISO tariff amendment is needed to maintain the viability of the day-ahead and day-of markets and to forestall the inevitable result of Amendment No. 33 as originally proposed – </w:t>
      </w:r>
      <w:r>
        <w:rPr>
          <w:i/>
          <w:iCs/>
        </w:rPr>
        <w:t>i.e.</w:t>
      </w:r>
      <w:r>
        <w:rPr/>
        <w:t xml:space="preserve">, withholding of </w:t>
      </w:r>
      <w:r>
        <w:br w:type="page"/>
      </w:r>
    </w:p>
    <w:p>
      <w:pPr>
        <w:pStyle w:val="Normal"/>
        <w:spacing w:lineRule="auto" w:line="480"/>
        <w:jc w:val="both"/>
        <w:rPr/>
      </w:pPr>
      <w:r>
        <w:rPr/>
        <w:t xml:space="preserve">supply until real-time operations during which the CAISO is willing to pay </w:t>
      </w:r>
      <w:r>
        <w:rPr>
          <w:u w:val="single"/>
        </w:rPr>
        <w:t>any</w:t>
      </w:r>
      <w:r>
        <w:rPr/>
        <w:t xml:space="preserve"> price to avoid reliability problems.</w:t>
      </w:r>
    </w:p>
    <w:p>
      <w:pPr>
        <w:pStyle w:val="Normal"/>
        <w:spacing w:lineRule="auto" w:line="480"/>
        <w:jc w:val="both"/>
        <w:rPr/>
      </w:pPr>
      <w:r>
        <w:rPr/>
        <w:tab/>
        <w:tab/>
        <w:tab/>
        <w:tab/>
        <w:tab/>
        <w:t>Respectfully submitted,</w:t>
      </w:r>
    </w:p>
    <w:p>
      <w:pPr>
        <w:pStyle w:val="Normal"/>
        <w:jc w:val="both"/>
        <w:rPr/>
      </w:pPr>
      <w:r>
        <w:rPr/>
        <w:tab/>
        <w:tab/>
        <w:tab/>
        <w:tab/>
        <w:tab/>
      </w:r>
      <w:r>
        <w:rPr>
          <w:smallCaps/>
        </w:rPr>
        <w:t>Bruder, Gentile &amp; Marcoux, L.L.P.</w:t>
      </w:r>
    </w:p>
    <w:p>
      <w:pPr>
        <w:pStyle w:val="Normal"/>
        <w:jc w:val="both"/>
        <w:rPr>
          <w:smallCaps/>
        </w:rPr>
      </w:pPr>
      <w:r>
        <w:rPr>
          <w:smallCaps/>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r>
      <w:r>
        <w:rPr>
          <w:u w:val="single"/>
        </w:rPr>
        <w:t>______________________________________</w:t>
      </w:r>
    </w:p>
    <w:p>
      <w:pPr>
        <w:pStyle w:val="Normal"/>
        <w:ind w:firstLine="720" w:start="720" w:end="0"/>
        <w:jc w:val="both"/>
        <w:rPr/>
      </w:pPr>
      <w:r>
        <w:rPr/>
        <w:tab/>
        <w:tab/>
        <w:tab/>
        <w:t>David E. Goroff</w:t>
      </w:r>
    </w:p>
    <w:p>
      <w:pPr>
        <w:pStyle w:val="Normal"/>
        <w:ind w:firstLine="720" w:start="720" w:end="0"/>
        <w:jc w:val="both"/>
        <w:rPr/>
      </w:pPr>
      <w:r>
        <w:rPr/>
        <w:tab/>
        <w:tab/>
        <w:tab/>
        <w:t>James H. McGrew</w:t>
      </w:r>
    </w:p>
    <w:p>
      <w:pPr>
        <w:pStyle w:val="Normal"/>
        <w:ind w:firstLine="720" w:start="2880" w:end="0"/>
        <w:jc w:val="both"/>
        <w:rPr/>
      </w:pPr>
      <w:r>
        <w:rPr/>
        <w:tab/>
        <w:t>1100 New York Avenue, N.W.</w:t>
      </w:r>
    </w:p>
    <w:p>
      <w:pPr>
        <w:pStyle w:val="Normal"/>
        <w:ind w:firstLine="720" w:start="3600" w:end="0"/>
        <w:jc w:val="both"/>
        <w:rPr/>
      </w:pPr>
      <w:r>
        <w:rPr/>
        <w:t>Suite 510 East</w:t>
      </w:r>
    </w:p>
    <w:p>
      <w:pPr>
        <w:pStyle w:val="Normal"/>
        <w:ind w:firstLine="720" w:start="2160" w:end="0"/>
        <w:jc w:val="both"/>
        <w:rPr/>
      </w:pPr>
      <w:r>
        <w:rPr/>
        <w:tab/>
        <w:tab/>
        <w:t>Washington, D.C. 20005-3934</w:t>
      </w:r>
    </w:p>
    <w:p>
      <w:pPr>
        <w:pStyle w:val="Normal"/>
        <w:jc w:val="both"/>
        <w:rPr/>
      </w:pPr>
      <w:r>
        <w:rPr/>
        <w:tab/>
        <w:tab/>
        <w:tab/>
        <w:tab/>
        <w:tab/>
        <w:tab/>
        <w:t>Telephone: 202/783-1350</w:t>
      </w:r>
    </w:p>
    <w:p>
      <w:pPr>
        <w:pStyle w:val="Normal"/>
        <w:jc w:val="both"/>
        <w:rPr/>
      </w:pPr>
      <w:r>
        <w:rPr/>
      </w:r>
    </w:p>
    <w:p>
      <w:pPr>
        <w:pStyle w:val="Normal"/>
        <w:jc w:val="both"/>
        <w:rPr/>
      </w:pPr>
      <w:r>
        <w:rPr/>
        <w:tab/>
        <w:tab/>
        <w:tab/>
        <w:tab/>
        <w:tab/>
        <w:t>Counsel for California Power Exchange Corporation</w:t>
      </w:r>
    </w:p>
    <w:p>
      <w:pPr>
        <w:pStyle w:val="Normal"/>
        <w:jc w:val="both"/>
        <w:rPr/>
      </w:pPr>
      <w:r>
        <w:rPr/>
      </w:r>
    </w:p>
    <w:p>
      <w:pPr>
        <w:pStyle w:val="Normal"/>
        <w:jc w:val="both"/>
        <w:rPr/>
      </w:pPr>
      <w:r>
        <w:rPr/>
      </w:r>
    </w:p>
    <w:p>
      <w:pPr>
        <w:pStyle w:val="Normal"/>
        <w:jc w:val="both"/>
        <w:rPr/>
      </w:pPr>
      <w:r>
        <w:rPr/>
        <w:t>December 11, 2000</w:t>
      </w:r>
    </w:p>
    <w:p>
      <w:pPr>
        <w:sectPr>
          <w:headerReference w:type="default" r:id="rId2"/>
          <w:headerReference w:type="first" r:id="rId3"/>
          <w:footnotePr>
            <w:numFmt w:val="decimal"/>
          </w:footnotePr>
          <w:type w:val="nextPage"/>
          <w:pgSz w:w="12240" w:h="15840"/>
          <w:pgMar w:left="1440" w:right="1440" w:gutter="0" w:header="720" w:top="1008" w:footer="0" w:bottom="1152"/>
          <w:pgNumType w:fmt="decimal"/>
          <w:formProt w:val="false"/>
          <w:titlePg/>
          <w:textDirection w:val="lrTb"/>
          <w:docGrid w:type="default" w:linePitch="360" w:charSpace="0"/>
        </w:sect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cs="Arial"/>
          <w:b/>
          <w:bCs/>
          <w:smallCaps/>
          <w:sz w:val="32"/>
        </w:rPr>
      </w:pPr>
      <w:r>
        <w:rPr>
          <w:rFonts w:cs="Arial"/>
          <w:b/>
          <w:bCs/>
          <w:smallCaps/>
          <w:sz w:val="32"/>
        </w:rPr>
        <w:t>Appendix A</w:t>
      </w:r>
      <w:r>
        <w:br w:type="page"/>
      </w:r>
    </w:p>
    <w:p>
      <w:pPr>
        <w:pStyle w:val="Normal"/>
        <w:jc w:val="center"/>
        <w:rPr>
          <w:b/>
          <w:bCs/>
        </w:rPr>
      </w:pPr>
      <w:r>
        <w:rPr>
          <w:b/>
          <w:bCs/>
        </w:rPr>
        <w:t>CRITIQUE OF CAISO TARIFF AMENDMENT NO. 33</w:t>
      </w:r>
    </w:p>
    <w:p>
      <w:pPr>
        <w:pStyle w:val="Normal"/>
        <w:jc w:val="center"/>
        <w:rPr/>
      </w:pPr>
      <w:r>
        <w:rPr/>
        <w:t>(Prepared by CalPX Staff)</w:t>
      </w:r>
    </w:p>
    <w:p>
      <w:pPr>
        <w:pStyle w:val="Normal"/>
        <w:rPr/>
      </w:pPr>
      <w:r>
        <w:rPr/>
      </w:r>
    </w:p>
    <w:p>
      <w:pPr>
        <w:pStyle w:val="Normal"/>
        <w:rPr/>
      </w:pPr>
      <w:r>
        <w:rPr/>
        <w:t>Friday’s emergency FERC filing by the California ISO resulted in the implementation of a “soft” price-cap of $250 for all real-time energy (Supplemental energy and Ancillary Service Energy).  The remaining “hard” price caps (Adjustment Bids and Ancillary Service capacity) were unaffected by this change.  This mixture of hard and soft caps has resulted in a complete disconnect between unconstrained and constrained prices which has crippled the CalPX day-ahead auction and disrupted the bilateral markets.</w:t>
      </w:r>
    </w:p>
    <w:p>
      <w:pPr>
        <w:pStyle w:val="Normal"/>
        <w:rPr/>
      </w:pPr>
      <w:r>
        <w:rPr/>
      </w:r>
    </w:p>
    <w:p>
      <w:pPr>
        <w:pStyle w:val="Normal"/>
        <w:rPr/>
      </w:pPr>
      <w:r>
        <w:rPr/>
        <w:t>Surrounding markets (</w:t>
      </w:r>
      <w:r>
        <w:rPr>
          <w:i/>
          <w:iCs/>
        </w:rPr>
        <w:t>e.g.</w:t>
      </w:r>
      <w:r>
        <w:rPr/>
        <w:t>, Mid-C, Palo Verde, the ISO’s Out-Of-Market purchases, etc.) are currently trading at significantly higher prices.  The ISO’s price cap proposal exposes loads to these market prices, which incents them to increase the level of their forward purchases.</w:t>
      </w:r>
    </w:p>
    <w:p>
      <w:pPr>
        <w:pStyle w:val="Normal"/>
        <w:rPr/>
      </w:pPr>
      <w:r>
        <w:rPr/>
      </w:r>
    </w:p>
    <w:p>
      <w:pPr>
        <w:pStyle w:val="Normal"/>
        <w:rPr/>
      </w:pPr>
      <w:r>
        <w:rPr/>
        <w:t>This has had an immediate effect on the CalPX day-ahead market.  On the first day after the policy took effect, the CalPX 24-hour weighted average price increased to $285.75, up from $252.79 the previous day.  The following day prices continued to converge with the bilateral markets as the average rose to $611.53.</w:t>
      </w:r>
    </w:p>
    <w:p>
      <w:pPr>
        <w:pStyle w:val="Normal"/>
        <w:rPr/>
      </w:pPr>
      <w:r>
        <w:rPr/>
      </w:r>
    </w:p>
    <w:p>
      <w:pPr>
        <w:pStyle w:val="Normal"/>
        <w:rPr/>
      </w:pPr>
      <w:r>
        <w:rPr/>
        <w:t>These price increases have exposed significant problems with the ISO’s price cap proposal.  The hard adjustment bid price cap means that when day-ahead prices rise above $250, significant portions of the ISO’s market are prevented from submitting adjustment bids.  The only types of adjustment bids that can be submitted by CalPX customers are bids to increase demand at prices of $250 or below, or offers to reduce supply, also at prices of $250 or below.</w:t>
      </w:r>
    </w:p>
    <w:p>
      <w:pPr>
        <w:pStyle w:val="Normal"/>
        <w:rPr/>
      </w:pPr>
      <w:r>
        <w:rPr/>
      </w:r>
    </w:p>
    <w:p>
      <w:pPr>
        <w:pStyle w:val="Normal"/>
        <w:rPr/>
      </w:pPr>
      <w:r>
        <w:rPr/>
        <w:t>This means that, in congested hours, prices are artificially reduced in the ISO’s congestion management.  For example, assume the CalPX Unconstrained Market Clearing Price (UMCP) for an hour is $629, as was the case in hour 18 on December 11</w:t>
      </w:r>
      <w:r>
        <w:rPr>
          <w:vertAlign w:val="superscript"/>
        </w:rPr>
        <w:t>th</w:t>
      </w:r>
      <w:r>
        <w:rPr/>
        <w:t xml:space="preserve">.  Next, assume that a load submits an adjustment bid offering to increase demand at $250.  If congestion exists, this bid would be the highest priced potential marginal bid, meaning that the highest possible price would be $250, plus applicable usage charges.  </w:t>
      </w:r>
    </w:p>
    <w:p>
      <w:pPr>
        <w:pStyle w:val="Normal"/>
        <w:rPr/>
      </w:pPr>
      <w:r>
        <w:rPr/>
      </w:r>
    </w:p>
    <w:p>
      <w:pPr>
        <w:pStyle w:val="Normal"/>
        <w:rPr/>
      </w:pPr>
      <w:r>
        <w:rPr/>
        <w:t>In practice, this has already resulted in significant price shifts between unconstrained and constrained prices.  For example, on the 11</w:t>
      </w:r>
      <w:r>
        <w:rPr>
          <w:vertAlign w:val="superscript"/>
        </w:rPr>
        <w:t>th</w:t>
      </w:r>
      <w:r>
        <w:rPr/>
        <w:t>, the PX UMCP for hour 18 was $629.20.  After congestion management, zonal prices ranged from $250 in SP15 and NP15 to $280 in NW1.  Every congested hour since this policy has been in effect has seen decreases from unconstrained to constrained prices ranging from tens to hundreds of dollars.</w:t>
      </w:r>
    </w:p>
    <w:p>
      <w:pPr>
        <w:pStyle w:val="Normal"/>
        <w:rPr/>
      </w:pPr>
      <w:r>
        <w:rPr/>
      </w:r>
    </w:p>
    <w:p>
      <w:pPr>
        <w:pStyle w:val="Normal"/>
        <w:rPr/>
      </w:pPr>
      <w:r>
        <w:rPr/>
        <w:t xml:space="preserve">The problem with this sort of price shift is that suppliers are unable to offer to curtail their schedules between the UMCP and the ISO adjustment bid price cap.  This could result in suppliers being forced to run at prices below their costs, which is a very real possibility when one recognizes that current into-California spot gas prices have reached $60 per MMBtu.  </w:t>
      </w:r>
    </w:p>
    <w:p>
      <w:pPr>
        <w:pStyle w:val="Normal"/>
        <w:rPr/>
      </w:pPr>
      <w:r>
        <w:rPr/>
        <w:t>The effect of significant price uncertainty is that suppliers will be unwilling to offer to supply into the forward markets, and will instead submit offers into the real-time market.  Suppliers will gravitate to real-time market because real-time prices are not subject to the effects of congestion management and offer greater price certainty as sellers are guaranteed to be paid at least their bid prices.</w:t>
      </w:r>
    </w:p>
    <w:p>
      <w:pPr>
        <w:pStyle w:val="Normal"/>
        <w:rPr/>
      </w:pPr>
      <w:r>
        <w:rPr/>
      </w:r>
    </w:p>
    <w:p>
      <w:pPr>
        <w:pStyle w:val="Normal"/>
        <w:rPr/>
      </w:pPr>
      <w:r>
        <w:rPr/>
        <w:t>Because supply will not submit offers into the forward market, load will be unable to fully schedule forward.  This will result in significant unscheduled loads appearing in real-time, which is the specific type of behavior that the ISO was trying to disincent.</w:t>
      </w:r>
    </w:p>
    <w:p>
      <w:pPr>
        <w:pStyle w:val="Normal"/>
        <w:rPr/>
      </w:pPr>
      <w:r>
        <w:rPr/>
      </w:r>
    </w:p>
    <w:p>
      <w:pPr>
        <w:pStyle w:val="Normal"/>
        <w:rPr/>
      </w:pPr>
      <w:r>
        <w:rPr/>
        <w:t>The solution to this problem is to raise the Adjustment Bid price cap.  This will allow suppliers to protect themselves from being forced to supply energy at prices that are below their costs, which will fully incent them to participate in the forward markets.  Additionally, because loads will also be able to submit bids to curtail demand at prices above $250, they will not be price-takers for congested energy and will thus be able to protect themselves from prices that are higher than prevailing markets.  The price certainty and price protection offered by raising the cap applies equally to both suppliers and purchasers.  As such, it is the only way to ensure that all market participants have sufficient incentive and ability to schedule forward.</w:t>
      </w:r>
    </w:p>
    <w:p>
      <w:pPr>
        <w:pStyle w:val="Normal"/>
        <w:rPr/>
      </w:pPr>
      <w:r>
        <w:rPr/>
      </w:r>
    </w:p>
    <w:p>
      <w:pPr>
        <w:pStyle w:val="Normal"/>
        <w:rPr/>
      </w:pPr>
      <w:r>
        <w:rPr/>
      </w:r>
    </w:p>
    <w:p>
      <w:pPr>
        <w:pStyle w:val="Normal"/>
        <w:jc w:val="both"/>
        <w:rPr/>
      </w:pPr>
      <w:r>
        <w:rPr/>
      </w:r>
    </w:p>
    <w:p>
      <w:pPr>
        <w:sectPr>
          <w:headerReference w:type="default" r:id="rId4"/>
          <w:headerReference w:type="first" r:id="rId5"/>
          <w:footnotePr>
            <w:numFmt w:val="decimal"/>
          </w:footnotePr>
          <w:type w:val="nextPage"/>
          <w:pgSz w:w="12240" w:h="15840"/>
          <w:pgMar w:left="1440" w:right="1440" w:gutter="0" w:header="720" w:top="1008" w:footer="0" w:bottom="1152"/>
          <w:pgNumType w:fmt="decimal"/>
          <w:formProt w:val="false"/>
          <w:titlePg/>
          <w:textDirection w:val="lrTb"/>
          <w:docGrid w:type="default" w:linePitch="360" w:charSpace="0"/>
        </w:sectPr>
        <w:pStyle w:val="Normal"/>
        <w:jc w:val="both"/>
        <w:rPr/>
      </w:pPr>
      <w:r>
        <w:rPr/>
      </w:r>
    </w:p>
    <w:p>
      <w:pPr>
        <w:pStyle w:val="Normal"/>
        <w:jc w:val="both"/>
        <w:rPr/>
      </w:pPr>
      <w:r>
        <w:rPr/>
      </w:r>
    </w:p>
    <w:p>
      <w:pPr>
        <w:pStyle w:val="Normal"/>
        <w:jc w:val="both"/>
        <w:rPr/>
      </w:pPr>
      <w:r>
        <w:rPr/>
      </w:r>
    </w:p>
    <w:p>
      <w:pPr>
        <w:pStyle w:val="Heading1"/>
        <w:ind w:hanging="0" w:start="0"/>
        <w:rPr>
          <w:sz w:val="24"/>
        </w:rPr>
      </w:pPr>
      <w:r>
        <w:rPr>
          <w:sz w:val="24"/>
        </w:rPr>
        <w:t>CERTIFICATE OF SERVICE</w:t>
      </w:r>
    </w:p>
    <w:p>
      <w:pPr>
        <w:pStyle w:val="Normal"/>
        <w:rPr>
          <w:b/>
          <w:sz w:val="28"/>
        </w:rPr>
      </w:pPr>
      <w:r>
        <w:rPr>
          <w:b/>
          <w:sz w:val="28"/>
        </w:rPr>
      </w:r>
    </w:p>
    <w:p>
      <w:pPr>
        <w:pStyle w:val="Normal"/>
        <w:spacing w:lineRule="auto" w:line="480"/>
        <w:rPr/>
      </w:pPr>
      <w:r>
        <w:rPr>
          <w:b/>
        </w:rPr>
        <w:tab/>
      </w:r>
      <w:r>
        <w:rPr/>
        <w:t>I hereby certify that I have this day served a copy of the foregoing document upon each person designated on the official service list compiled by the Secretary in this proceeding.</w:t>
      </w:r>
    </w:p>
    <w:p>
      <w:pPr>
        <w:pStyle w:val="Normal"/>
        <w:spacing w:lineRule="auto" w:line="480"/>
        <w:rPr/>
      </w:pPr>
      <w:r>
        <w:rPr/>
        <w:tab/>
        <w:t>Dated at Washington, D.C. this 11</w:t>
      </w:r>
      <w:r>
        <w:rPr>
          <w:vertAlign w:val="superscript"/>
        </w:rPr>
        <w:t>th</w:t>
      </w:r>
      <w:r>
        <w:rPr/>
        <w:t xml:space="preserve"> day of December, 2000.</w:t>
      </w:r>
    </w:p>
    <w:p>
      <w:pPr>
        <w:pStyle w:val="Header"/>
        <w:tabs>
          <w:tab w:val="clear" w:pos="4320"/>
          <w:tab w:val="clear" w:pos="8640"/>
        </w:tabs>
        <w:rPr/>
      </w:pPr>
      <w:r>
        <w:rPr/>
      </w:r>
    </w:p>
    <w:p>
      <w:pPr>
        <w:pStyle w:val="Header"/>
        <w:tabs>
          <w:tab w:val="clear" w:pos="4320"/>
          <w:tab w:val="clear" w:pos="8640"/>
        </w:tabs>
        <w:rPr/>
      </w:pPr>
      <w:r>
        <w:rPr/>
      </w:r>
    </w:p>
    <w:p>
      <w:pPr>
        <w:pStyle w:val="Normal"/>
        <w:rPr/>
      </w:pPr>
      <w:r>
        <w:rPr/>
        <w:tab/>
        <w:tab/>
        <w:tab/>
        <w:tab/>
        <w:tab/>
        <w:tab/>
        <w:tab/>
        <w:t>______________________________</w:t>
      </w:r>
      <w:r>
        <w:rPr>
          <w:u w:val="single"/>
        </w:rPr>
        <w:t xml:space="preserve"> </w:t>
      </w:r>
    </w:p>
    <w:p>
      <w:pPr>
        <w:pStyle w:val="Header"/>
        <w:tabs>
          <w:tab w:val="clear" w:pos="4320"/>
          <w:tab w:val="clear" w:pos="8640"/>
        </w:tabs>
        <w:rPr/>
      </w:pPr>
      <w:r>
        <w:rPr/>
        <w:tab/>
        <w:tab/>
        <w:tab/>
        <w:tab/>
        <w:tab/>
        <w:tab/>
        <w:tab/>
        <w:tab/>
        <w:t>David E. Goroff</w:t>
      </w:r>
    </w:p>
    <w:p>
      <w:pPr>
        <w:pStyle w:val="Header"/>
        <w:tabs>
          <w:tab w:val="clear" w:pos="4320"/>
          <w:tab w:val="clear" w:pos="8640"/>
        </w:tabs>
        <w:rPr/>
      </w:pPr>
      <w:r>
        <w:rPr/>
      </w:r>
    </w:p>
    <w:p>
      <w:pPr>
        <w:pStyle w:val="Header"/>
        <w:tabs>
          <w:tab w:val="clear" w:pos="4320"/>
          <w:tab w:val="clear" w:pos="8640"/>
        </w:tabs>
        <w:rPr/>
      </w:pPr>
      <w:r>
        <w:rPr/>
        <w:t>On behalf of:</w:t>
      </w:r>
    </w:p>
    <w:p>
      <w:pPr>
        <w:pStyle w:val="Header"/>
        <w:tabs>
          <w:tab w:val="clear" w:pos="4320"/>
          <w:tab w:val="clear" w:pos="8640"/>
        </w:tabs>
        <w:rPr/>
      </w:pPr>
      <w:r>
        <w:rPr/>
        <w:tab/>
        <w:t>California Power Exchange Corporation</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bCs/>
        </w:rPr>
      </w:pPr>
      <w:r>
        <w:rPr>
          <w:bCs/>
          <w:sz w:val="18"/>
        </w:rPr>
        <w:fldChar w:fldCharType="begin"/>
      </w:r>
      <w:r>
        <w:rPr>
          <w:sz w:val="18"/>
          <w:bCs/>
        </w:rPr>
        <w:instrText xml:space="preserve"> FILENAME \p </w:instrText>
      </w:r>
      <w:r>
        <w:rPr>
          <w:sz w:val="18"/>
          <w:bCs/>
        </w:rPr>
        <w:fldChar w:fldCharType="separate"/>
      </w:r>
      <w:r>
        <w:rPr>
          <w:sz w:val="18"/>
          <w:bCs/>
        </w:rPr>
        <w:t>/mnt/main-storage/datasets/enron-docs/doc/2862_Emergency_Filing.doc</w:t>
      </w:r>
      <w:r>
        <w:rPr>
          <w:sz w:val="18"/>
          <w:bCs/>
        </w:rPr>
        <w:fldChar w:fldCharType="end"/>
      </w:r>
    </w:p>
    <w:p>
      <w:pPr>
        <w:pStyle w:val="Header"/>
        <w:tabs>
          <w:tab w:val="clear" w:pos="4320"/>
          <w:tab w:val="clear" w:pos="8640"/>
        </w:tabs>
        <w:rPr>
          <w:bCs/>
        </w:rPr>
      </w:pPr>
      <w:r>
        <w:rPr>
          <w:bCs/>
        </w:rPr>
      </w:r>
    </w:p>
    <w:sectPr>
      <w:headerReference w:type="default" r:id="rId6"/>
      <w:headerReference w:type="first" r:id="rId7"/>
      <w:footnotePr>
        <w:numFmt w:val="decimal"/>
      </w:footnotePr>
      <w:type w:val="nextPage"/>
      <w:pgSz w:w="12240" w:h="15840"/>
      <w:pgMar w:left="1440" w:right="1440" w:gutter="0" w:header="720" w:top="1008"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t xml:space="preserve"> </w:t>
      </w:r>
      <w:r>
        <w:rPr/>
        <w:tab/>
        <w:t>Please see Appendix A for a more detailed description of the problem.</w:t>
      </w:r>
    </w:p>
    <w:p>
      <w:pPr>
        <w:pStyle w:val="FootnoteText"/>
        <w:spacing w:before="0" w:after="60"/>
        <w:ind w:hanging="720" w:start="720" w:end="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Docket No. ER01-607-000</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114300</wp:posOffset>
              </wp:positionV>
              <wp:extent cx="5943600" cy="0"/>
              <wp:effectExtent l="0" t="9525" r="0" b="9525"/>
              <wp:wrapNone/>
              <wp:docPr id="3"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9pt" to="467.95pt,9pt" stroked="t" o:allowincell="f" style="position:absolute">
              <v:stroke color="black" weight="19080" joinstyle="miter" endcap="flat"/>
              <v:fill o:detectmouseclick="t" on="false"/>
              <w10:wrap type="none"/>
            </v:line>
          </w:pict>
        </mc:Fallback>
      </mc:AlternateConten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Docket No. ER01-607-000</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11">
              <wp:simplePos x="0" y="0"/>
              <wp:positionH relativeFrom="column">
                <wp:posOffset>0</wp:posOffset>
              </wp:positionH>
              <wp:positionV relativeFrom="paragraph">
                <wp:posOffset>114300</wp:posOffset>
              </wp:positionV>
              <wp:extent cx="5943600" cy="0"/>
              <wp:effectExtent l="0" t="9525" r="0" b="9525"/>
              <wp:wrapNone/>
              <wp:docPr id="4"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9pt" to="467.95pt,9pt" stroked="t" o:allowincell="f" style="position:absolute">
              <v:stroke color="black" weight="19080" joinstyle="miter" endcap="flat"/>
              <v:fill o:detectmouseclick="t" on="false"/>
              <w10:wrap type="none"/>
            </v:line>
          </w:pict>
        </mc:Fallback>
      </mc:AlternateConten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ind w:hanging="720" w:start="720" w:end="0"/>
      <w:jc w:val="both"/>
      <w:outlineLvl w:val="2"/>
    </w:pPr>
    <w:rPr>
      <w:b/>
      <w:smallCaps/>
    </w:rPr>
  </w:style>
  <w:style w:type="paragraph" w:styleId="Heading6">
    <w:name w:val="heading 6"/>
    <w:basedOn w:val="Normal"/>
    <w:next w:val="Normal"/>
    <w:qFormat/>
    <w:pPr>
      <w:keepNext w:val="true"/>
      <w:numPr>
        <w:ilvl w:val="5"/>
        <w:numId w:val="1"/>
      </w:numPr>
      <w:jc w:val="center"/>
      <w:outlineLvl w:val="5"/>
    </w:pPr>
    <w:rPr>
      <w:b/>
    </w:rPr>
  </w:style>
  <w:style w:type="character" w:styleId="DefaultParagraphFont">
    <w:name w:val="Default Paragraph Font"/>
    <w:qFormat/>
    <w:rPr/>
  </w:style>
  <w:style w:type="character" w:styleId="FootnoteCharacters">
    <w:name w:val="Footnote Characters"/>
    <w:qFormat/>
    <w:rPr>
      <w:rFonts w:ascii="Arial" w:hAnsi="Arial" w:cs="Arial"/>
      <w:b/>
      <w:sz w:val="20"/>
      <w:u w:val="single"/>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6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FERC-Draft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2000-12-11T18:39:00Z</dcterms:created>
  <dc:creator>Barbara Fetherolf</dc:creator>
  <dc:description/>
  <dc:language>en-CA</dc:language>
  <cp:lastModifiedBy>Martha B. Binford</cp:lastModifiedBy>
  <cp:lastPrinted>2000-12-11T16:33:00Z</cp:lastPrinted>
  <dcterms:modified xsi:type="dcterms:W3CDTF">2000-12-11T19:10:00Z</dcterms:modified>
  <cp:revision>8</cp:revision>
  <dc:subject/>
  <dc:title>United States of America</dc:title>
</cp:coreProperties>
</file>