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</w:rPr>
      </w:pPr>
      <w:r>
        <w:rPr>
          <w:b/>
        </w:rPr>
        <w:t>SCHEDULE 5.04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outlineLvl w:val="0"/>
        <w:rPr>
          <w:b/>
        </w:rPr>
      </w:pPr>
      <w:r>
        <w:rPr>
          <w:b/>
        </w:rPr>
        <w:t>AUTHORIZATIONS FOR BUSINESSES UNDER DEVELOPMENT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/>
        <w:tab/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/>
        <w:tab/>
        <w:tab/>
        <w:t>1.</w:t>
        <w:tab/>
        <w:t>GCO received Gas importation permit on December 1, 1999.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2.</w:t>
        <w:tab/>
        <w:t>GCO received IPP license on June 6,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3.</w:t>
        <w:tab/>
        <w:t>GCO will obtain Previous Installation License by August 15,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4.</w:t>
        <w:tab/>
        <w:t>GCO will obtain ONS authorization for grid connection by September 14,</w:t>
      </w:r>
    </w:p>
    <w:p>
      <w:pPr>
        <w:pStyle w:val="Normal"/>
        <w:rPr/>
      </w:pPr>
      <w:r>
        <w:rPr/>
        <w:tab/>
        <w:tab/>
        <w:tab/>
        <w:t>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5.</w:t>
        <w:tab/>
        <w:t>GCO will receive Installation License by November 1,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6.</w:t>
        <w:tab/>
        <w:t>ECE will obtain MAE agreement by December 2002.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7.</w:t>
        <w:tab/>
        <w:t>GCO will obtain municipality construction authorization, fire department,</w:t>
      </w:r>
    </w:p>
    <w:p>
      <w:pPr>
        <w:pStyle w:val="Normal"/>
        <w:rPr/>
      </w:pPr>
      <w:r>
        <w:rPr/>
        <w:tab/>
        <w:tab/>
        <w:tab/>
        <w:t>occupational, Health Secretarial, and plant operation license by December</w:t>
      </w:r>
    </w:p>
    <w:p>
      <w:pPr>
        <w:pStyle w:val="Normal"/>
        <w:rPr/>
      </w:pPr>
      <w:r>
        <w:rPr/>
        <w:tab/>
        <w:tab/>
        <w:tab/>
        <w:t>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8.</w:t>
        <w:tab/>
        <w:t>On April 15, 2000, we signed a GSA between TBSII and ECE and it was</w:t>
      </w:r>
    </w:p>
    <w:p>
      <w:pPr>
        <w:pStyle w:val="Normal"/>
        <w:rPr/>
      </w:pPr>
      <w:r>
        <w:rPr/>
        <w:tab/>
        <w:tab/>
        <w:tab/>
        <w:t>submitted to ANP on May 2, 2000.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</w:r>
  </w:p>
  <w:p>
    <w:pPr>
      <w:pStyle w:val="Footer"/>
      <w:rPr>
        <w:sz w:val="16"/>
      </w:rPr>
    </w:pPr>
    <w:r>
      <w:rPr>
        <w:sz w:val="16"/>
      </w:rPr>
      <w:t>Houston:285757 v 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>
        <w:b/>
        <w:sz w:val="20"/>
      </w:rPr>
      <w:t>Cuiaba II Draft</w:t>
    </w:r>
  </w:p>
  <w:p>
    <w:pPr>
      <w:pStyle w:val="Header"/>
      <w:rPr>
        <w:b/>
        <w:sz w:val="20"/>
      </w:rPr>
    </w:pPr>
    <w:r>
      <w:rPr>
        <w:b/>
        <w:sz w:val="20"/>
      </w:rPr>
      <w:tab/>
      <w:tab/>
      <w:t>July 31, 2000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2000-08-01T00:58:00Z</dcterms:created>
  <dc:creator>VE</dc:creator>
  <dc:description/>
  <dc:language>en-CA</dc:language>
  <cp:lastModifiedBy>VE</cp:lastModifiedBy>
  <dcterms:modified xsi:type="dcterms:W3CDTF">2000-08-01T00:58:00Z</dcterms:modified>
  <cp:revision>2</cp:revision>
  <dc:subject/>
  <dc:title>SCHEDULE 5</dc:title>
</cp:coreProperties>
</file>