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SCHEDULE 3.03</w:t>
      </w:r>
    </w:p>
    <w:p>
      <w:pPr>
        <w:pStyle w:val="Normal"/>
        <w:jc w:val="center"/>
        <w:rPr>
          <w:b/>
        </w:rPr>
      </w:pPr>
      <w:r>
        <w:rPr>
          <w:b/>
        </w:rPr>
      </w:r>
    </w:p>
    <w:p>
      <w:pPr>
        <w:pStyle w:val="Normal"/>
        <w:numPr>
          <w:ilvl w:val="0"/>
          <w:numId w:val="0"/>
        </w:numPr>
        <w:jc w:val="center"/>
        <w:outlineLvl w:val="0"/>
        <w:rPr>
          <w:b/>
        </w:rPr>
      </w:pPr>
      <w:r>
        <w:rPr>
          <w:b/>
        </w:rPr>
        <w:t>REQUIRED REGULATORY APPROVALS</w:t>
      </w:r>
    </w:p>
    <w:p>
      <w:pPr>
        <w:pStyle w:val="Normal"/>
        <w:numPr>
          <w:ilvl w:val="0"/>
          <w:numId w:val="0"/>
        </w:numPr>
        <w:jc w:val="center"/>
        <w:outlineLvl w:val="0"/>
        <w:rPr>
          <w:b/>
        </w:rPr>
      </w:pPr>
      <w:r>
        <w:rPr>
          <w:b/>
        </w:rPr>
      </w:r>
    </w:p>
    <w:p>
      <w:pPr>
        <w:pStyle w:val="Normal"/>
        <w:numPr>
          <w:ilvl w:val="0"/>
          <w:numId w:val="1"/>
        </w:numPr>
        <w:rPr/>
      </w:pPr>
      <w:r>
        <w:rPr>
          <w:b/>
        </w:rPr>
        <w:t>[ANEEL’s approval of PPA between ECE and Elektro].</w:t>
      </w:r>
    </w:p>
    <w:p>
      <w:pPr>
        <w:pStyle w:val="Normal"/>
        <w:ind w:hanging="720" w:start="1440" w:end="0"/>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hanging="720" w:start="1440" w:end="0"/>
        <w:rPr/>
      </w:pPr>
      <w:r>
        <w:rPr/>
      </w:r>
    </w:p>
    <w:p>
      <w:pPr>
        <w:pStyle w:val="Normal"/>
        <w:numPr>
          <w:ilvl w:val="0"/>
          <w:numId w:val="0"/>
        </w:numPr>
        <w:jc w:val="center"/>
        <w:outlineLvl w:val="0"/>
        <w:rPr>
          <w:b/>
        </w:rPr>
      </w:pPr>
      <w:r>
        <w:rPr>
          <w:b/>
        </w:rPr>
        <w:t>SCHEDULE 4.01</w:t>
      </w:r>
    </w:p>
    <w:p>
      <w:pPr>
        <w:pStyle w:val="Normal"/>
        <w:jc w:val="center"/>
        <w:rPr>
          <w:b/>
        </w:rPr>
      </w:pPr>
      <w:r>
        <w:rPr>
          <w:b/>
        </w:rPr>
      </w:r>
    </w:p>
    <w:p>
      <w:pPr>
        <w:pStyle w:val="Normal"/>
        <w:numPr>
          <w:ilvl w:val="0"/>
          <w:numId w:val="0"/>
        </w:numPr>
        <w:jc w:val="center"/>
        <w:outlineLvl w:val="0"/>
        <w:rPr>
          <w:b/>
        </w:rPr>
      </w:pPr>
      <w:r>
        <w:rPr>
          <w:b/>
        </w:rPr>
        <w:t>IDENTIFICATION OF THE SELLERS</w:t>
      </w:r>
    </w:p>
    <w:p>
      <w:pPr>
        <w:pStyle w:val="Normal"/>
        <w:rPr/>
      </w:pPr>
      <w:r>
        <w:rPr/>
      </w:r>
    </w:p>
    <w:p>
      <w:pPr>
        <w:pStyle w:val="Normal"/>
        <w:rPr/>
      </w:pPr>
      <w:r>
        <w:rPr/>
      </w:r>
    </w:p>
    <w:p>
      <w:pPr>
        <w:pStyle w:val="Normal"/>
        <w:rPr/>
      </w:pPr>
      <w:r>
        <w:rPr/>
        <w:tab/>
        <w:t>The following are the names of the Sellers, the natures of their organizations and the jurisdictions of their organizations.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Business</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Operating Company</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Subject Company</w:t>
            </w:r>
          </w:p>
          <w:p>
            <w:pPr>
              <w:pStyle w:val="Normal"/>
              <w:jc w:val="center"/>
              <w:rPr>
                <w:b/>
                <w:sz w:val="20"/>
              </w:rPr>
            </w:pPr>
            <w:r>
              <w:rPr>
                <w:b/>
                <w:sz w:val="20"/>
              </w:rPr>
              <w:t>(entity whose shares being sold)</w:t>
            </w:r>
          </w:p>
        </w:tc>
        <w:tc>
          <w:tcPr>
            <w:tcW w:w="2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Sellers</w:t>
            </w:r>
          </w:p>
        </w:tc>
      </w:tr>
      <w:tr>
        <w:trPr>
          <w:trHeight w:val="143" w:hRule="atLeast"/>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RioGen</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RJG - Rio de Janeiro</w:t>
            </w:r>
          </w:p>
          <w:p>
            <w:pPr>
              <w:pStyle w:val="Normal"/>
              <w:rPr>
                <w:sz w:val="20"/>
              </w:rPr>
            </w:pPr>
            <w:r>
              <w:rPr>
                <w:sz w:val="20"/>
              </w:rPr>
              <w:t xml:space="preserve">Generation Ltda. </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Holdings XVIII Ltd.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South America LLC</w:t>
            </w:r>
          </w:p>
        </w:tc>
      </w:tr>
      <w:tr>
        <w:trPr>
          <w:trHeight w:val="143" w:hRule="atLeast"/>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Investments XVIII Ltd.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Holdings XVIII Ltd. (a Cayman Company)</w:t>
            </w:r>
          </w:p>
        </w:tc>
      </w:tr>
      <w:tr>
        <w:trPr>
          <w:trHeight w:val="143" w:hRule="atLeast"/>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General Marketing Company</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Comercializadora de Energia Ltda.</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Holdings VII Ltd.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South America L.L.C., a Delaware limited liability company</w:t>
            </w:r>
          </w:p>
        </w:tc>
      </w:tr>
      <w:tr>
        <w:trPr>
          <w:trHeight w:val="143" w:hRule="atLeast"/>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Investments VII Ltd.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Holdings VII Ltd.</w:t>
            </w:r>
          </w:p>
        </w:tc>
      </w:tr>
    </w:tbl>
    <w:p>
      <w:pPr>
        <w:pStyle w:val="Normal"/>
        <w:rPr>
          <w:sz w:val="20"/>
        </w:rPr>
      </w:pPr>
      <w:r>
        <w:rPr>
          <w:sz w:val="20"/>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4.03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EXCEPTIONS TO TITLE TO SECURITIES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jc w:val="center"/>
        <w:outlineLvl w:val="0"/>
        <w:rPr>
          <w:b/>
        </w:rPr>
      </w:pPr>
      <w:r>
        <w:rPr>
          <w:b/>
        </w:rPr>
        <w:t>SCHEDULE 4.05</w:t>
      </w:r>
    </w:p>
    <w:p>
      <w:pPr>
        <w:pStyle w:val="Normal"/>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following are the contracts to which any Seller is a party or by which it or its properties or assets are bound, the terms of which would be violated or breached by execution, delivery or performance of the Agreement by such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None.</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LIST OF SUBJECT COMPANIES, SUBSIDIARIES OF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OPERATING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 xml:space="preserve">The following table sets forth the name of each Subject Company, the name of each of its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Subsidiaries and the name of its Operating Company or Companies, together with the nature of its legal organization, the jurisdiction of its organization and its direct and indirect ownership by the Parent (expressed as a percentage):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RioGen: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Enron Brazil Power Holdings XVIII Ltd., a Cayman Islands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ab/>
        <w:t>Enron Brazil Power Investments XVIII Ltd., a Cayman Islands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ab/>
        <w:tab/>
        <w:t>RJG-Rio de Janeiro Generation Ltda., a Brazilian partnership (the Operating Company)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Enron Brazil Power Holdings VII Ltd., a Cayman Islands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pPr>
      <w:r>
        <w:rPr/>
        <w:tab/>
        <w:tab/>
        <w:t>Enron Brazil Power Investments VII Ltd., a Cayman Islands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ab/>
        <w:tab/>
        <w:tab/>
        <w:t>Enron Comercializadora de Energia Ltda., a Brazilian partnership (the Operating Company)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CONTRACTUAL RESTRICTIONS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See the Sellers’ contractual and other restrictions set forth on Schedule 4.05, all of which are incorporated herein by this reference.</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in each Subject Company owned by the related Seller, in each case as of the date of the Agreement:</w:t>
      </w:r>
    </w:p>
    <w:p>
      <w:pPr>
        <w:pStyle w:val="Normal"/>
        <w:rPr/>
      </w:pPr>
      <w:r>
        <w:rPr/>
      </w:r>
    </w:p>
    <w:p>
      <w:pPr>
        <w:pStyle w:val="Normal"/>
        <w:rPr/>
      </w:pPr>
      <w:r>
        <w:rPr/>
      </w:r>
    </w:p>
    <w:tbl>
      <w:tblPr>
        <w:tblW w:w="1233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rPr>
                <w:b/>
              </w:rPr>
            </w:pPr>
            <w:r>
              <w:rPr>
                <w:b/>
              </w:rPr>
              <w:t>Business(es)</w:t>
            </w:r>
          </w:p>
        </w:tc>
        <w:tc>
          <w:tcPr>
            <w:tcW w:w="2250" w:type="dxa"/>
            <w:tcBorders>
              <w:top w:val="single" w:sz="6" w:space="0" w:color="000000"/>
              <w:start w:val="single" w:sz="6" w:space="0" w:color="000000"/>
            </w:tcBorders>
          </w:tcPr>
          <w:p>
            <w:pPr>
              <w:pStyle w:val="Normal"/>
              <w:rPr>
                <w:b/>
              </w:rPr>
            </w:pPr>
            <w:r>
              <w:rPr>
                <w:b/>
              </w:rPr>
              <w:t xml:space="preserve">Name of </w:t>
              <w:tab/>
            </w:r>
          </w:p>
          <w:p>
            <w:pPr>
              <w:pStyle w:val="Normal"/>
              <w:rPr>
                <w:b/>
              </w:rPr>
            </w:pPr>
            <w:r>
              <w:rPr>
                <w:b/>
              </w:rPr>
              <w:t xml:space="preserve">Subject </w:t>
              <w:tab/>
            </w:r>
          </w:p>
          <w:p>
            <w:pPr>
              <w:pStyle w:val="Normal"/>
              <w:rPr>
                <w:b/>
              </w:rPr>
            </w:pPr>
            <w:r>
              <w:rPr>
                <w:b/>
              </w:rPr>
              <w:t>Company</w:t>
            </w:r>
          </w:p>
        </w:tc>
        <w:tc>
          <w:tcPr>
            <w:tcW w:w="1800" w:type="dxa"/>
            <w:tcBorders>
              <w:top w:val="single" w:sz="6" w:space="0" w:color="000000"/>
              <w:start w:val="single" w:sz="6" w:space="0" w:color="000000"/>
            </w:tcBorders>
          </w:tcPr>
          <w:p>
            <w:pPr>
              <w:pStyle w:val="Normal"/>
              <w:rPr>
                <w:b/>
              </w:rPr>
            </w:pPr>
            <w:r>
              <w:rPr>
                <w:b/>
              </w:rPr>
              <w:t>Description</w:t>
            </w:r>
          </w:p>
          <w:p>
            <w:pPr>
              <w:pStyle w:val="Normal"/>
              <w:rPr>
                <w:b/>
              </w:rPr>
            </w:pPr>
            <w:r>
              <w:rPr>
                <w:b/>
              </w:rPr>
              <w:t xml:space="preserve">of Equity </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Authorized</w:t>
            </w:r>
          </w:p>
          <w:p>
            <w:pPr>
              <w:pStyle w:val="Normal"/>
              <w:rPr>
                <w:b/>
              </w:rPr>
            </w:pPr>
            <w:r>
              <w:rPr>
                <w:b/>
              </w:rPr>
              <w:t>Equity</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 xml:space="preserve">Outstanding </w:t>
            </w:r>
          </w:p>
          <w:p>
            <w:pPr>
              <w:pStyle w:val="Normal"/>
              <w:rPr>
                <w:b/>
              </w:rPr>
            </w:pPr>
            <w:r>
              <w:rPr>
                <w:b/>
              </w:rPr>
              <w:t xml:space="preserve">Equity </w:t>
              <w:tab/>
            </w:r>
          </w:p>
          <w:p>
            <w:pPr>
              <w:pStyle w:val="Normal"/>
              <w:rPr>
                <w:b/>
              </w:rPr>
            </w:pPr>
            <w:r>
              <w:rPr>
                <w:b/>
              </w:rPr>
              <w:t>Securities</w:t>
            </w:r>
          </w:p>
        </w:tc>
        <w:tc>
          <w:tcPr>
            <w:tcW w:w="1440" w:type="dxa"/>
            <w:tcBorders>
              <w:top w:val="single" w:sz="6" w:space="0" w:color="000000"/>
              <w:start w:val="single" w:sz="6" w:space="0" w:color="000000"/>
            </w:tcBorders>
          </w:tcPr>
          <w:p>
            <w:pPr>
              <w:pStyle w:val="Normal"/>
              <w:rPr>
                <w:b/>
              </w:rPr>
            </w:pPr>
            <w:r>
              <w:rPr>
                <w:b/>
              </w:rPr>
              <w:t>Equity Securities</w:t>
            </w:r>
          </w:p>
          <w:p>
            <w:pPr>
              <w:pStyle w:val="Normal"/>
              <w:rPr>
                <w:b/>
              </w:rPr>
            </w:pPr>
            <w:r>
              <w:rPr>
                <w:b/>
              </w:rPr>
              <w:t xml:space="preserve">Owned by </w:t>
            </w:r>
          </w:p>
          <w:p>
            <w:pPr>
              <w:pStyle w:val="Normal"/>
              <w:rPr>
                <w:b/>
              </w:rPr>
            </w:pPr>
            <w:r>
              <w:rPr>
                <w:b/>
              </w:rPr>
              <w:t>Seller</w:t>
            </w:r>
          </w:p>
        </w:tc>
        <w:tc>
          <w:tcPr>
            <w:tcW w:w="1710" w:type="dxa"/>
            <w:tcBorders>
              <w:top w:val="single" w:sz="6" w:space="0" w:color="000000"/>
              <w:start w:val="single" w:sz="6" w:space="0" w:color="000000"/>
              <w:end w:val="single" w:sz="6" w:space="0" w:color="000000"/>
            </w:tcBorders>
          </w:tcPr>
          <w:p>
            <w:pPr>
              <w:pStyle w:val="Normal"/>
              <w:rPr>
                <w:b/>
              </w:rPr>
            </w:pPr>
            <w:r>
              <w:rPr>
                <w:b/>
              </w:rPr>
              <w:t>% of Subject</w:t>
            </w:r>
          </w:p>
          <w:p>
            <w:pPr>
              <w:pStyle w:val="Normal"/>
              <w:rPr>
                <w:b/>
              </w:rPr>
            </w:pPr>
            <w:r>
              <w:rPr>
                <w:b/>
              </w:rPr>
              <w:t xml:space="preserve">Company Owned and Transferred </w:t>
            </w:r>
          </w:p>
          <w:p>
            <w:pPr>
              <w:pStyle w:val="Normal"/>
              <w:rPr>
                <w:b/>
              </w:rPr>
            </w:pPr>
            <w:r>
              <w:rPr>
                <w:b/>
              </w:rPr>
              <w:t>by Seller</w:t>
            </w:r>
          </w:p>
        </w:tc>
      </w:tr>
      <w:tr>
        <w:trPr>
          <w:trHeight w:val="403" w:hRule="atLeast"/>
        </w:trPr>
        <w:tc>
          <w:tcPr>
            <w:tcW w:w="1710" w:type="dxa"/>
            <w:tcBorders>
              <w:top w:val="single" w:sz="4" w:space="0" w:color="000000"/>
              <w:start w:val="single" w:sz="4" w:space="0" w:color="000000"/>
              <w:bottom w:val="single" w:sz="4" w:space="0" w:color="000000"/>
            </w:tcBorders>
          </w:tcPr>
          <w:p>
            <w:pPr>
              <w:pStyle w:val="Normal"/>
              <w:rPr/>
            </w:pPr>
            <w:r>
              <w:rPr/>
              <w:t>Riogen</w:t>
            </w:r>
          </w:p>
        </w:tc>
        <w:tc>
          <w:tcPr>
            <w:tcW w:w="2250" w:type="dxa"/>
            <w:tcBorders>
              <w:top w:val="single" w:sz="4" w:space="0" w:color="000000"/>
              <w:start w:val="single" w:sz="6" w:space="0" w:color="000000"/>
              <w:bottom w:val="single" w:sz="4" w:space="0" w:color="000000"/>
            </w:tcBorders>
          </w:tcPr>
          <w:p>
            <w:pPr>
              <w:pStyle w:val="Normal"/>
              <w:rPr/>
            </w:pPr>
            <w:r>
              <w:rPr/>
              <w:t>Enron Brazil Power Holdings XVIII Ltd.</w:t>
            </w:r>
          </w:p>
        </w:tc>
        <w:tc>
          <w:tcPr>
            <w:tcW w:w="180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tcBorders>
          </w:tcPr>
          <w:p>
            <w:pPr>
              <w:pStyle w:val="Normal"/>
              <w:snapToGrid w:val="false"/>
              <w:rPr/>
            </w:pPr>
            <w:r>
              <w:rPr/>
            </w:r>
          </w:p>
        </w:tc>
        <w:tc>
          <w:tcPr>
            <w:tcW w:w="144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end w:val="single" w:sz="4" w:space="0" w:color="000000"/>
            </w:tcBorders>
          </w:tcPr>
          <w:p>
            <w:pPr>
              <w:pStyle w:val="Normal"/>
              <w:snapToGrid w:val="false"/>
              <w:rPr/>
            </w:pPr>
            <w:r>
              <w:rPr/>
            </w:r>
          </w:p>
        </w:tc>
      </w:tr>
      <w:tr>
        <w:trPr>
          <w:trHeight w:val="403" w:hRule="atLeast"/>
        </w:trPr>
        <w:tc>
          <w:tcPr>
            <w:tcW w:w="1710" w:type="dxa"/>
            <w:tcBorders>
              <w:top w:val="single" w:sz="4" w:space="0" w:color="000000"/>
              <w:start w:val="single" w:sz="4" w:space="0" w:color="000000"/>
              <w:bottom w:val="single" w:sz="4" w:space="0" w:color="000000"/>
            </w:tcBorders>
          </w:tcPr>
          <w:p>
            <w:pPr>
              <w:pStyle w:val="Normal"/>
              <w:rPr/>
            </w:pPr>
            <w:r>
              <w:rPr/>
              <w:t>Riogen</w:t>
            </w:r>
          </w:p>
        </w:tc>
        <w:tc>
          <w:tcPr>
            <w:tcW w:w="2250" w:type="dxa"/>
            <w:tcBorders>
              <w:top w:val="single" w:sz="4" w:space="0" w:color="000000"/>
              <w:start w:val="single" w:sz="6" w:space="0" w:color="000000"/>
              <w:bottom w:val="single" w:sz="4" w:space="0" w:color="000000"/>
            </w:tcBorders>
          </w:tcPr>
          <w:p>
            <w:pPr>
              <w:pStyle w:val="Normal"/>
              <w:rPr/>
            </w:pPr>
            <w:r>
              <w:rPr/>
              <w:t>Enron Brazil Power Holdings VII Ltd.</w:t>
            </w:r>
          </w:p>
        </w:tc>
        <w:tc>
          <w:tcPr>
            <w:tcW w:w="180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tcBorders>
          </w:tcPr>
          <w:p>
            <w:pPr>
              <w:pStyle w:val="Normal"/>
              <w:snapToGrid w:val="false"/>
              <w:rPr/>
            </w:pPr>
            <w:r>
              <w:rPr/>
            </w:r>
          </w:p>
        </w:tc>
        <w:tc>
          <w:tcPr>
            <w:tcW w:w="1440" w:type="dxa"/>
            <w:tcBorders>
              <w:top w:val="single" w:sz="4" w:space="0" w:color="000000"/>
              <w:start w:val="single" w:sz="6" w:space="0" w:color="000000"/>
              <w:bottom w:val="single" w:sz="4" w:space="0" w:color="000000"/>
            </w:tcBorders>
          </w:tcPr>
          <w:p>
            <w:pPr>
              <w:pStyle w:val="Normal"/>
              <w:snapToGrid w:val="false"/>
              <w:rPr/>
            </w:pPr>
            <w:r>
              <w:rPr/>
            </w:r>
          </w:p>
        </w:tc>
        <w:tc>
          <w:tcPr>
            <w:tcW w:w="1710" w:type="dxa"/>
            <w:tcBorders>
              <w:top w:val="single" w:sz="4" w:space="0" w:color="000000"/>
              <w:start w:val="single" w:sz="6" w:space="0" w:color="000000"/>
              <w:bottom w:val="single" w:sz="4" w:space="0" w:color="000000"/>
              <w:end w:val="single" w:sz="4"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sectPr>
          <w:footerReference w:type="default" r:id="rId5"/>
          <w:footerReference w:type="first" r:id="rId6"/>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MATTERS RELATING TO EQUITY SECURITIES OF THE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Matters relating to Clause (iii):  See the contractual restrictions disclosed in Schedules 3.03, 4.03 and 5.03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Matters relating to Clause (iv):  See the contractual restrictions disclosed in Schedules 3.03, 4.03 and 5.03 to this Parent Disclosure Letter, all of which are incorporated herein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III.</w:t>
        <w:tab/>
        <w:t>Information regarding adverse claims with respect to Equity Securities of Subject Companies and their Significant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5.06(b)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MAJOR FRANCHISES, LICENSES AND PERMITS FOR BUSINESSES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UNDER DEVELOPMENT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The major Franchises, Licenses and Permits, other than those subject to Section 5.11, that have heretofore been obtained for each Business Under Development are set forth below: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1440" w:end="0"/>
        <w:rPr/>
      </w:pPr>
      <w:r>
        <w:rPr/>
        <w:t>1.</w:t>
        <w:tab/>
        <w:t>Endorsement from FURNAS and ONS regarding CEPEL's study related to RioGen’s 138 KV or 500 KV connection.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1440" w:end="0"/>
        <w:rPr/>
      </w:pPr>
      <w:r>
        <w:rPr/>
        <w:t>2.</w:t>
        <w:tab/>
        <w:t>SERLA’s authorization to use 1,200 m3/h of cooling water from Guandu 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1440" w:end="0"/>
        <w:rPr/>
      </w:pPr>
      <w:r>
        <w:rPr/>
        <w:t>3.</w:t>
        <w:tab/>
        <w:t>ANEEL’s authorization through Resolution 186 of June 6, 2000 to have RioGen established in Brazil as an Independent Power Producer.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1440" w:end="0"/>
        <w:rPr/>
      </w:pPr>
      <w:r>
        <w:rPr/>
        <w:t>4.</w:t>
        <w:tab/>
        <w:t>Resolution from Government of Rio de Janeiro State to have deferment of ICMS for 20 years.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1440" w:end="0"/>
        <w:rPr/>
      </w:pPr>
      <w:r>
        <w:rPr/>
        <w:t>5.</w:t>
        <w:tab/>
        <w:t>Law 106 of April 14, 2000 from Municipal Government of Seropédica City to have exemption of IPTU and reduction of ISS-QN from 5% to 1%.</w:t>
      </w:r>
    </w:p>
    <w:p>
      <w:pPr>
        <w:pStyle w:val="Header"/>
        <w:tabs>
          <w:tab w:val="clear" w:pos="468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1440" w:end="0"/>
        <w:rPr/>
      </w:pPr>
      <w:r>
        <w:rPr/>
        <w:t>6.</w:t>
        <w:tab/>
        <w:t>Decree 137 of June 30, 2000 from Municipal Government of Seropédica City which regulates the Law 106 of April 14, 2000.</w:t>
      </w:r>
    </w:p>
    <w:p>
      <w:pPr>
        <w:pStyle w:val="Normal"/>
        <w:ind w:hanging="720" w:start="1440" w:end="0"/>
        <w:rPr/>
      </w:pPr>
      <w:r>
        <w:rPr/>
      </w:r>
    </w:p>
    <w:p>
      <w:pPr>
        <w:pStyle w:val="Normal"/>
        <w:ind w:hanging="720" w:start="1440" w:end="0"/>
        <w:rPr/>
      </w:pPr>
      <w:r>
        <w:rPr/>
        <w:t>7.</w:t>
        <w:tab/>
        <w:t xml:space="preserve">The </w:t>
      </w:r>
      <w:r>
        <w:rPr>
          <w:i/>
        </w:rPr>
        <w:t>Agencia Nacional de Energia Eletrica</w:t>
      </w:r>
      <w:r>
        <w:rPr/>
        <w:t xml:space="preserve"> (National Electric Energy Agency) ("ANEEL") is the public Brazilian federal regulator of the Brazilian Electric Power Sector.  (ANEEL issues IPP licenses)</w:t>
      </w:r>
    </w:p>
    <w:p>
      <w:pPr>
        <w:pStyle w:val="Normal"/>
        <w:rPr/>
      </w:pPr>
      <w:r>
        <w:rPr/>
      </w:r>
    </w:p>
    <w:p>
      <w:pPr>
        <w:pStyle w:val="Normal"/>
        <w:ind w:hanging="720" w:start="1440" w:end="0"/>
        <w:rPr/>
      </w:pPr>
      <w:r>
        <w:rPr/>
        <w:t>8.</w:t>
        <w:tab/>
        <w:t xml:space="preserve">The </w:t>
      </w:r>
      <w:r>
        <w:rPr>
          <w:i/>
        </w:rPr>
        <w:t>Operador Nacional do Sistema Elétrico Brasileiro</w:t>
      </w:r>
      <w:r>
        <w:rPr/>
        <w:t xml:space="preserve"> (National Electrical System Operator Agency) ("ONS") is the private Brazilian federal Operator of the National Electrical System.  (ONS governs transmission access.)</w:t>
      </w:r>
    </w:p>
    <w:p>
      <w:pPr>
        <w:pStyle w:val="Normal"/>
        <w:rPr/>
      </w:pPr>
      <w:r>
        <w:rPr/>
      </w:r>
    </w:p>
    <w:p>
      <w:pPr>
        <w:pStyle w:val="Normal"/>
        <w:ind w:hanging="720" w:start="1440" w:end="0"/>
        <w:rPr/>
      </w:pPr>
      <w:r>
        <w:rPr/>
        <w:t>9.</w:t>
        <w:tab/>
        <w:t xml:space="preserve">[The </w:t>
      </w:r>
      <w:r>
        <w:rPr>
          <w:i/>
        </w:rPr>
        <w:t>Agencia Reguladora de Servicos Publicos do Estado do Rio de Janeiro</w:t>
      </w:r>
      <w:r>
        <w:rPr/>
        <w:t xml:space="preserve"> (Public Services Regulatory Agency of the State of Rio de Janeiro) ("ASEP") is the state agency charged with regulating natural gas activities in the State of Rio de Janeiro.  ASEP may have to issue a license related to the gas contract, but this is unlikely. </w:t>
      </w:r>
      <w:r>
        <w:rPr>
          <w:b/>
        </w:rPr>
        <w:t>[To be confirmed]</w:t>
      </w:r>
    </w:p>
    <w:p>
      <w:pPr>
        <w:pStyle w:val="Normal"/>
        <w:rPr/>
      </w:pPr>
      <w:r>
        <w:rPr/>
      </w:r>
    </w:p>
    <w:p>
      <w:pPr>
        <w:pStyle w:val="Normal"/>
        <w:ind w:hanging="720" w:start="1440" w:end="0"/>
        <w:rPr/>
      </w:pPr>
      <w:r>
        <w:rPr/>
        <w:t>10.</w:t>
        <w:tab/>
        <w:t xml:space="preserve">The public Company </w:t>
      </w:r>
      <w:r>
        <w:rPr>
          <w:i/>
        </w:rPr>
        <w:t>FURNAS – Centrais Elétricas S. A.</w:t>
      </w:r>
      <w:r>
        <w:rPr/>
        <w:t xml:space="preserve"> (“FURNAS”) which was founded on February 28, 1957 by Federal law 41066 is indirectly administered by the Brazilian Federal Government, being responsible to the Ministry of Mines and Energy and controlled by ELETROBRÁS.  FURNAS is responsible for supplying and transporting electric power among some Brazilian States.  [RioGen will have to contract with FURNAS for access to its transmission system.  The permission will come from ANEEL, but the contract will be negotiated and signed with FURNAS.)]</w:t>
      </w:r>
    </w:p>
    <w:p>
      <w:pPr>
        <w:pStyle w:val="Normal"/>
        <w:rPr/>
      </w:pPr>
      <w:r>
        <w:rPr/>
      </w:r>
    </w:p>
    <w:p>
      <w:pPr>
        <w:pStyle w:val="Normal"/>
        <w:ind w:hanging="720" w:start="1440" w:end="0"/>
        <w:rPr/>
      </w:pPr>
      <w:r>
        <w:rPr/>
        <w:t>12.</w:t>
        <w:tab/>
        <w:t>Transfers of interests in privately-owned companies that do not hold concessions do not require regulatory approval.</w:t>
      </w:r>
    </w:p>
    <w:p>
      <w:pPr>
        <w:pStyle w:val="Normal"/>
        <w:ind w:hanging="720" w:start="1440" w:end="0"/>
        <w:rPr/>
      </w:pPr>
      <w:r>
        <w:rPr/>
      </w:r>
    </w:p>
    <w:p>
      <w:pPr>
        <w:pStyle w:val="Normal"/>
        <w:ind w:hanging="720" w:start="1440" w:end="0"/>
        <w:rPr/>
      </w:pPr>
      <w:r>
        <w:rPr/>
        <w:t>13.</w:t>
        <w:tab/>
        <w:t>Provided the regulatory thresholds are reached, the buyer will be required to notify CADE of the transaction within the prescribed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insurance policies maintained by or through the Parent Company Group).  </w:t>
      </w:r>
      <w:r>
        <w:rPr>
          <w:b/>
        </w:rPr>
        <w:t>[Company to provide information,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rPr/>
      </w:pPr>
      <w:r>
        <w:rPr/>
        <w:t>None.</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 xml:space="preserve">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is Schedules 7.05 and 5.10(b) to this Parent Disclosure Letter) are hereby incorporated in this Schedule by this reference.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of all Suretyship Arrangements and identifies the surety in such arrangement, whether that be the Parent or a Retained Subsidiary: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 xml:space="preserve">None.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5.11(b)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EMPLOYEE BENEFIT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t xml:space="preserve">None.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5.12(a) of the Agreement relating to 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[No existing environmental matters.  The requirement for an environmental license needs to be included in the document.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Section 5.13 of the Agreement relating to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None.  </w:t>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MATERIAL ADVERSE CHANGE</w:t>
      </w:r>
    </w:p>
    <w:p>
      <w:pPr>
        <w:pStyle w:val="Normal"/>
        <w:rPr/>
      </w:pPr>
      <w:r>
        <w:rPr/>
      </w:r>
    </w:p>
    <w:p>
      <w:pPr>
        <w:pStyle w:val="Normal"/>
        <w:rPr/>
      </w:pPr>
      <w:r>
        <w:rPr/>
      </w:r>
    </w:p>
    <w:p>
      <w:pPr>
        <w:pStyle w:val="Normal"/>
        <w:rPr/>
      </w:pPr>
      <w:r>
        <w:rPr/>
        <w:t>None.</w:t>
      </w:r>
    </w:p>
    <w:p>
      <w:pPr>
        <w:pStyle w:val="Normal"/>
        <w:rPr/>
      </w:pPr>
      <w:r>
        <w:rPr/>
      </w:r>
    </w:p>
    <w:p>
      <w:pPr>
        <w:pStyle w:val="Normal"/>
        <w:rPr/>
      </w:pPr>
      <w:r>
        <w:rPr/>
      </w:r>
    </w:p>
    <w:p>
      <w:pPr>
        <w:pStyle w:val="Normal"/>
        <w:rPr/>
      </w:pPr>
      <w:r>
        <w:rPr/>
      </w:r>
      <w:r>
        <w:br w:type="page"/>
      </w:r>
    </w:p>
    <w:p>
      <w:pPr>
        <w:pStyle w:val="Normal"/>
        <w:jc w:val="center"/>
        <w:rPr>
          <w:b/>
        </w:rPr>
      </w:pPr>
      <w:r>
        <w:rPr>
          <w:b/>
        </w:rPr>
        <w:t>SCHEDULE 7.02(d)</w:t>
      </w:r>
    </w:p>
    <w:p>
      <w:pPr>
        <w:pStyle w:val="Normal"/>
        <w:jc w:val="center"/>
        <w:rPr>
          <w:b/>
        </w:rPr>
      </w:pPr>
      <w:r>
        <w:rPr>
          <w:b/>
        </w:rPr>
      </w:r>
    </w:p>
    <w:p>
      <w:pPr>
        <w:pStyle w:val="Normal"/>
        <w:jc w:val="center"/>
        <w:rPr>
          <w:b/>
        </w:rPr>
      </w:pPr>
      <w:r>
        <w:rPr>
          <w:b/>
        </w:rPr>
        <w:t>DEVELOPMENT BUDGET</w:t>
      </w:r>
    </w:p>
    <w:p>
      <w:pPr>
        <w:pStyle w:val="Normal"/>
        <w:rPr/>
      </w:pPr>
      <w:r>
        <w:rPr/>
      </w:r>
    </w:p>
    <w:p>
      <w:pPr>
        <w:pStyle w:val="Normal"/>
        <w:rPr/>
      </w:pPr>
      <w:r>
        <w:rPr/>
      </w:r>
    </w:p>
    <w:p>
      <w:pPr>
        <w:pStyle w:val="Normal"/>
        <w:rPr>
          <w:b/>
        </w:rPr>
      </w:pPr>
      <w:r>
        <w:rPr>
          <w:b/>
        </w:rPr>
        <w:tab/>
        <w:t>[Company to provide]</w:t>
      </w:r>
    </w:p>
    <w:p>
      <w:pPr>
        <w:pStyle w:val="Normal"/>
        <w:rPr>
          <w:b/>
        </w:rPr>
      </w:pPr>
      <w:r>
        <w:rPr>
          <w:b/>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 THAT ARE RELATED PARTY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all Principal Contracts that are Related Party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ind w:hanging="720" w:start="720" w:end="0"/>
        <w:rPr/>
      </w:pPr>
      <w:r>
        <w:rPr/>
        <w:t>1.</w:t>
        <w:tab/>
        <w:t xml:space="preserve">Term Sheet has already been signed between Enron Comercializadora de Energia Ltda., </w:t>
      </w:r>
      <w:r>
        <w:rPr>
          <w:i/>
        </w:rPr>
        <w:t>a sociedade de quotas por responsabilidade limitada</w:t>
      </w:r>
      <w:r>
        <w:rPr/>
        <w:t xml:space="preserve">, organized under the laws of Brazil and established in the city of São Paulo, State of São Paulo, at Avenida Nações Unidas, 11,541 - 7th Floor, room 20, registered under National Registry of Legal Entities (“CNPJ”) under No.02.754.177/001-09, and Companhia Distribuidora de Gás do Rio de Janeiro-Ceg, </w:t>
      </w:r>
      <w:r>
        <w:rPr>
          <w:i/>
        </w:rPr>
        <w:t>a sociedade anônima</w:t>
      </w:r>
      <w:r>
        <w:rPr/>
        <w:t xml:space="preserve">, organized under the laws of Brazil and established in Rio de Janeiro.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2.</w:t>
        <w:tab/>
      </w:r>
      <w:r>
        <w:rPr>
          <w:b/>
        </w:rPr>
        <w:t>[Also include reference to ECE – Elektro Energy Purchase Agreement] [to come]</w:t>
      </w:r>
    </w:p>
    <w:p>
      <w:pPr>
        <w:pStyle w:val="Normal"/>
        <w:rPr>
          <w:b/>
        </w:rPr>
      </w:pPr>
      <w:r>
        <w:rPr>
          <w:b/>
        </w:rPr>
      </w:r>
    </w:p>
    <w:sectPr>
      <w:footerReference w:type="default" r:id="rId7"/>
      <w:footerReference w:type="first" r:id="rId8"/>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Houston:285727 v 2</w:t>
    </w:r>
  </w:p>
  <w:p>
    <w:pPr>
      <w:pStyle w:val="Footer"/>
      <w:rPr>
        <w:sz w:val="16"/>
      </w:rPr>
    </w:pPr>
    <w:r>
      <w:rPr>
        <w:sz w:val="16"/>
      </w:rPr>
      <w:t>RioGen</w:t>
    </w:r>
  </w:p>
  <w:p>
    <w:pPr>
      <w:pStyle w:val="Footer"/>
      <w:rPr>
        <w:sz w:val="16"/>
      </w:rPr>
    </w:pPr>
    <w:r>
      <w:rPr>
        <w:sz w:val="16"/>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Houston:285727 v 2</w:t>
    </w:r>
  </w:p>
  <w:p>
    <w:pPr>
      <w:pStyle w:val="Footer"/>
      <w:rPr>
        <w:sz w:val="16"/>
      </w:rPr>
    </w:pPr>
    <w:r>
      <w:rPr>
        <w:sz w:val="16"/>
      </w:rPr>
      <w:t>RioGen</w:t>
    </w:r>
  </w:p>
  <w:p>
    <w:pPr>
      <w:pStyle w:val="Footer"/>
      <w:rPr>
        <w:sz w:val="16"/>
      </w:rPr>
    </w:pPr>
    <w:r>
      <w:rPr>
        <w:sz w:val="16"/>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Houston:285727 v 2</w:t>
    </w:r>
  </w:p>
  <w:p>
    <w:pPr>
      <w:pStyle w:val="Footer"/>
      <w:rPr>
        <w:sz w:val="16"/>
      </w:rPr>
    </w:pPr>
    <w:r>
      <w:rPr>
        <w:sz w:val="16"/>
      </w:rPr>
      <w:t>RioGen</w:t>
    </w:r>
  </w:p>
  <w:p>
    <w:pPr>
      <w:pStyle w:val="Footer"/>
      <w:rPr>
        <w:sz w:val="16"/>
      </w:rPr>
    </w:pPr>
    <w:r>
      <w:rPr>
        <w:sz w:val="16"/>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Houston:285727 v 2</w:t>
    </w:r>
  </w:p>
  <w:p>
    <w:pPr>
      <w:pStyle w:val="Footer"/>
      <w:rPr>
        <w:sz w:val="16"/>
      </w:rPr>
    </w:pPr>
    <w:r>
      <w:rPr>
        <w:sz w:val="16"/>
      </w:rPr>
      <w:t>RioGen</w:t>
    </w:r>
  </w:p>
  <w:p>
    <w:pPr>
      <w:pStyle w:val="Footer"/>
      <w:rPr>
        <w:sz w:val="16"/>
      </w:rPr>
    </w:pPr>
    <w:r>
      <w:rPr>
        <w:sz w:val="16"/>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6z0">
    <w:name w:val="WW8Num16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outlineLvl w:val="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2000-08-01T00:36:00Z</dcterms:created>
  <dc:creator>Vinson &amp; Elkins L.L.P.</dc:creator>
  <dc:description/>
  <dc:language>en-CA</dc:language>
  <cp:lastModifiedBy>VE</cp:lastModifiedBy>
  <cp:lastPrinted>2000-07-31T21:10:00Z</cp:lastPrinted>
  <dcterms:modified xsi:type="dcterms:W3CDTF">2000-08-01T00:39:00Z</dcterms:modified>
  <cp:revision>3</cp:revision>
  <dc:subject/>
  <dc:title>SCHEDULE 4</dc:title>
</cp:coreProperties>
</file>