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3.xml" ContentType="application/vnd.openxmlformats-officedocument.wordprocessingml.footer+xml"/>
  <Override PartName="/word/footer12.xml" ContentType="application/vnd.openxmlformats-officedocument.wordprocessingml.footer+xml"/>
  <Override PartName="/word/footer11.xml" ContentType="application/vnd.openxmlformats-officedocument.wordprocessingml.footer+xml"/>
  <Override PartName="/word/footer10.xml" ContentType="application/vnd.openxmlformats-officedocument.wordprocessingml.footer+xml"/>
  <Override PartName="/word/footer9.xml" ContentType="application/vnd.openxmlformats-officedocument.wordprocessingml.footer+xml"/>
  <Override PartName="/word/theme/theme1.xml" ContentType="application/vnd.openxmlformats-officedocument.theme+xml"/>
  <Override PartName="/word/header1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header8.xml" ContentType="application/vnd.openxmlformats-officedocument.wordprocessingml.header+xml"/>
  <Override PartName="/word/footer5.xml" ContentType="application/vnd.openxmlformats-officedocument.wordprocessingml.footer+xml"/>
  <Override PartName="/word/header17.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1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footer17.xml" ContentType="application/vnd.openxmlformats-officedocument.wordprocessingml.footer+xml"/>
  <Override PartName="/word/header10.xml" ContentType="application/vnd.openxmlformats-officedocument.wordprocessingml.header+xml"/>
  <Override PartName="/word/header1.xml" ContentType="application/vnd.openxmlformats-officedocument.wordprocessingml.header+xml"/>
  <Override PartName="/word/styles.xml" ContentType="application/vnd.openxmlformats-officedocument.wordprocessingml.styles+xml"/>
  <Override PartName="/word/document.xml" ContentType="application/vnd.openxmlformats-officedocument.wordprocessingml.document.main+xml"/>
  <Override PartName="/word/footer4.xml" ContentType="application/vnd.openxmlformats-officedocument.wordprocessingml.footer+xml"/>
  <Override PartName="/word/header7.xml" ContentType="application/vnd.openxmlformats-officedocument.wordprocessingml.header+xml"/>
  <Override PartName="/word/header16.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header3.xml" ContentType="application/vnd.openxmlformats-officedocument.wordprocessingml.header+xml"/>
  <Override PartName="/word/footer7.xml" ContentType="application/vnd.openxmlformats-officedocument.wordprocessingml.footer+xml"/>
  <Override PartName="/word/footer1.xml" ContentType="application/vnd.openxmlformats-officedocument.wordprocessingml.footer+xml"/>
  <Override PartName="/word/header13.xml" ContentType="application/vnd.openxmlformats-officedocument.wordprocessingml.header+xml"/>
  <Override PartName="/word/header4.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SCHEDULE 5.01</w:t>
      </w:r>
    </w:p>
    <w:p>
      <w:pPr>
        <w:pStyle w:val="Normal"/>
        <w:jc w:val="center"/>
        <w:rPr>
          <w:rFonts w:ascii="Arial" w:hAnsi="Arial" w:cs="Arial"/>
          <w:b/>
          <w:sz w:val="24"/>
        </w:rPr>
      </w:pPr>
      <w:r>
        <w:rPr>
          <w:rFonts w:cs="Arial" w:ascii="Arial" w:hAnsi="Arial"/>
          <w:b/>
          <w:sz w:val="24"/>
        </w:rPr>
        <w:t>EGEP GROUP</w:t>
      </w:r>
    </w:p>
    <w:p>
      <w:pPr>
        <w:pStyle w:val="Normal"/>
        <w:rPr>
          <w:rFonts w:ascii="Arial" w:hAnsi="Arial" w:cs="Arial"/>
          <w:b/>
          <w:sz w:val="24"/>
        </w:rPr>
      </w:pPr>
      <w:r>
        <w:rPr>
          <w:rFonts w:cs="Arial" w:ascii="Arial" w:hAnsi="Arial"/>
          <w:b/>
          <w:sz w:val="24"/>
        </w:rPr>
      </w:r>
    </w:p>
    <w:p>
      <w:pPr>
        <w:pStyle w:val="Normal"/>
        <w:rPr/>
      </w:pPr>
      <w:r>
        <w:rPr/>
      </w:r>
    </w:p>
    <w:tbl>
      <w:tblPr>
        <w:tblW w:w="12019" w:type="dxa"/>
        <w:jc w:val="center"/>
        <w:tblInd w:w="0" w:type="dxa"/>
        <w:tblLayout w:type="fixed"/>
        <w:tblCellMar>
          <w:top w:w="0" w:type="dxa"/>
          <w:start w:w="108" w:type="dxa"/>
          <w:bottom w:w="0" w:type="dxa"/>
          <w:end w:w="108" w:type="dxa"/>
        </w:tblCellMar>
      </w:tblPr>
      <w:tblGrid>
        <w:gridCol w:w="4120"/>
        <w:gridCol w:w="2931"/>
        <w:gridCol w:w="2250"/>
        <w:gridCol w:w="2718"/>
      </w:tblGrid>
      <w:tr>
        <w:trPr>
          <w:trHeight w:val="320" w:hRule="atLeast"/>
        </w:trPr>
        <w:tc>
          <w:tcPr>
            <w:tcW w:w="4120" w:type="dxa"/>
            <w:tcBorders>
              <w:top w:val="single" w:sz="4" w:space="0" w:color="000000"/>
              <w:start w:val="single" w:sz="4" w:space="0" w:color="000000"/>
              <w:bottom w:val="single" w:sz="4" w:space="0" w:color="000000"/>
              <w:end w:val="single" w:sz="4" w:space="0" w:color="000000"/>
            </w:tcBorders>
            <w:shd w:fill="DFDFDF" w:val="clear"/>
            <w:vAlign w:val="center"/>
          </w:tcPr>
          <w:p>
            <w:pPr>
              <w:pStyle w:val="Heading1"/>
              <w:ind w:hanging="0" w:start="0"/>
              <w:rPr/>
            </w:pPr>
            <w:r>
              <w:rPr/>
              <w:t xml:space="preserve">Name of </w:t>
            </w:r>
          </w:p>
          <w:p>
            <w:pPr>
              <w:pStyle w:val="Heading1"/>
              <w:ind w:hanging="0" w:start="0"/>
              <w:rPr/>
            </w:pPr>
            <w:r>
              <w:rPr/>
              <w:t>Company</w:t>
            </w:r>
          </w:p>
        </w:tc>
        <w:tc>
          <w:tcPr>
            <w:tcW w:w="2931" w:type="dxa"/>
            <w:tcBorders>
              <w:top w:val="single" w:sz="4" w:space="0" w:color="000000"/>
              <w:start w:val="single" w:sz="4" w:space="0" w:color="000000"/>
              <w:bottom w:val="single" w:sz="4" w:space="0" w:color="000000"/>
              <w:end w:val="single" w:sz="4" w:space="0" w:color="000000"/>
            </w:tcBorders>
            <w:shd w:fill="DFDFDF" w:val="clear"/>
            <w:vAlign w:val="center"/>
          </w:tcPr>
          <w:p>
            <w:pPr>
              <w:pStyle w:val="Heading2"/>
              <w:ind w:hanging="0" w:start="0"/>
              <w:rPr>
                <w:b/>
              </w:rPr>
            </w:pPr>
            <w:r>
              <w:rPr>
                <w:b/>
              </w:rPr>
              <w:t>Type of</w:t>
            </w:r>
          </w:p>
          <w:p>
            <w:pPr>
              <w:pStyle w:val="Heading1"/>
              <w:ind w:hanging="0" w:start="0"/>
              <w:rPr/>
            </w:pPr>
            <w:r>
              <w:rPr/>
              <w:t>Company</w:t>
            </w:r>
          </w:p>
        </w:tc>
        <w:tc>
          <w:tcPr>
            <w:tcW w:w="2250" w:type="dxa"/>
            <w:tcBorders>
              <w:top w:val="single" w:sz="4" w:space="0" w:color="000000"/>
              <w:start w:val="single" w:sz="4" w:space="0" w:color="000000"/>
              <w:bottom w:val="single" w:sz="4" w:space="0" w:color="000000"/>
              <w:end w:val="single" w:sz="4" w:space="0" w:color="000000"/>
            </w:tcBorders>
            <w:shd w:fill="DFDFDF" w:val="clear"/>
            <w:vAlign w:val="center"/>
          </w:tcPr>
          <w:p>
            <w:pPr>
              <w:pStyle w:val="Heading2"/>
              <w:ind w:hanging="0" w:start="0"/>
              <w:rPr>
                <w:b/>
              </w:rPr>
            </w:pPr>
            <w:r>
              <w:rPr>
                <w:b/>
              </w:rPr>
              <w:t>Jurisdiction of</w:t>
            </w:r>
          </w:p>
          <w:p>
            <w:pPr>
              <w:pStyle w:val="Heading2"/>
              <w:ind w:hanging="0" w:start="0"/>
              <w:rPr>
                <w:b/>
              </w:rPr>
            </w:pPr>
            <w:r>
              <w:rPr>
                <w:b/>
              </w:rPr>
              <w:t>Formation</w:t>
            </w:r>
          </w:p>
        </w:tc>
        <w:tc>
          <w:tcPr>
            <w:tcW w:w="2718" w:type="dxa"/>
            <w:tcBorders>
              <w:top w:val="single" w:sz="4" w:space="0" w:color="000000"/>
              <w:start w:val="single" w:sz="4" w:space="0" w:color="000000"/>
              <w:bottom w:val="single" w:sz="4" w:space="0" w:color="000000"/>
              <w:end w:val="single" w:sz="4" w:space="0" w:color="000000"/>
            </w:tcBorders>
            <w:shd w:fill="DFDFDF" w:val="clear"/>
          </w:tcPr>
          <w:p>
            <w:pPr>
              <w:pStyle w:val="Heading2"/>
              <w:ind w:hanging="0" w:start="0"/>
              <w:rPr>
                <w:b/>
              </w:rPr>
            </w:pPr>
            <w:r>
              <w:rPr>
                <w:b/>
              </w:rPr>
              <w:t>Percentage Owned</w:t>
            </w:r>
          </w:p>
          <w:p>
            <w:pPr>
              <w:pStyle w:val="Normal"/>
              <w:jc w:val="center"/>
              <w:rPr>
                <w:rFonts w:ascii="Arial" w:hAnsi="Arial" w:cs="Arial"/>
                <w:b/>
                <w:sz w:val="24"/>
              </w:rPr>
            </w:pPr>
            <w:r>
              <w:rPr>
                <w:rFonts w:cs="Arial" w:ascii="Arial" w:hAnsi="Arial"/>
                <w:b/>
                <w:sz w:val="24"/>
              </w:rPr>
              <w:t>Directly or Indirectly</w:t>
            </w:r>
          </w:p>
          <w:p>
            <w:pPr>
              <w:pStyle w:val="Normal"/>
              <w:jc w:val="center"/>
              <w:rPr>
                <w:rFonts w:ascii="Arial" w:hAnsi="Arial" w:cs="Arial"/>
                <w:sz w:val="24"/>
              </w:rPr>
            </w:pPr>
            <w:r>
              <w:rPr>
                <w:rFonts w:cs="Arial" w:ascii="Arial" w:hAnsi="Arial"/>
                <w:b/>
                <w:sz w:val="24"/>
              </w:rPr>
              <w:t>by Enron Corp.</w:t>
            </w:r>
          </w:p>
        </w:tc>
      </w:tr>
      <w:tr>
        <w:trPr>
          <w:trHeight w:val="320" w:hRule="atLeast"/>
        </w:trPr>
        <w:tc>
          <w:tcPr>
            <w:tcW w:w="4120" w:type="dxa"/>
            <w:tcBorders>
              <w:top w:val="single" w:sz="4" w:space="0" w:color="000000"/>
              <w:start w:val="single" w:sz="4" w:space="0" w:color="000000"/>
              <w:bottom w:val="single" w:sz="4" w:space="0" w:color="000000"/>
              <w:end w:val="single" w:sz="4" w:space="0" w:color="000000"/>
            </w:tcBorders>
            <w:vAlign w:val="center"/>
          </w:tcPr>
          <w:p>
            <w:pPr>
              <w:pStyle w:val="Normal"/>
              <w:rPr>
                <w:rFonts w:ascii="Arial" w:hAnsi="Arial" w:cs="Arial"/>
                <w:sz w:val="24"/>
              </w:rPr>
            </w:pPr>
            <w:r>
              <w:rPr>
                <w:rFonts w:cs="Arial" w:ascii="Arial" w:hAnsi="Arial"/>
                <w:sz w:val="24"/>
              </w:rPr>
              <w:t>EOGI-India, Inc.</w:t>
            </w:r>
          </w:p>
        </w:tc>
        <w:tc>
          <w:tcPr>
            <w:tcW w:w="2931" w:type="dxa"/>
            <w:tcBorders>
              <w:top w:val="single" w:sz="4" w:space="0" w:color="000000"/>
              <w:start w:val="single" w:sz="4" w:space="0" w:color="000000"/>
              <w:bottom w:val="single" w:sz="4" w:space="0" w:color="000000"/>
              <w:end w:val="single" w:sz="4" w:space="0" w:color="000000"/>
            </w:tcBorders>
            <w:vAlign w:val="center"/>
          </w:tcPr>
          <w:p>
            <w:pPr>
              <w:pStyle w:val="Heading2"/>
              <w:ind w:hanging="0" w:start="0"/>
              <w:rPr/>
            </w:pPr>
            <w:r>
              <w:rPr/>
              <w:t>business corporation</w:t>
            </w:r>
          </w:p>
        </w:tc>
        <w:tc>
          <w:tcPr>
            <w:tcW w:w="2250" w:type="dxa"/>
            <w:tcBorders>
              <w:top w:val="single" w:sz="4" w:space="0" w:color="000000"/>
              <w:start w:val="single" w:sz="4" w:space="0" w:color="000000"/>
              <w:bottom w:val="single" w:sz="4" w:space="0" w:color="000000"/>
              <w:end w:val="single" w:sz="4" w:space="0" w:color="000000"/>
            </w:tcBorders>
            <w:vAlign w:val="center"/>
          </w:tcPr>
          <w:p>
            <w:pPr>
              <w:pStyle w:val="Heading2"/>
              <w:ind w:hanging="0" w:start="0"/>
              <w:rPr/>
            </w:pPr>
            <w:r>
              <w:rPr/>
              <w:t>Delaware</w:t>
            </w:r>
          </w:p>
        </w:tc>
        <w:tc>
          <w:tcPr>
            <w:tcW w:w="271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w:hAnsi="Arial" w:cs="Arial"/>
                <w:sz w:val="24"/>
              </w:rPr>
            </w:pPr>
            <w:r>
              <w:rPr>
                <w:rFonts w:cs="Arial" w:ascii="Arial" w:hAnsi="Arial"/>
                <w:sz w:val="24"/>
              </w:rPr>
              <w:t>100%</w:t>
            </w:r>
          </w:p>
        </w:tc>
      </w:tr>
      <w:tr>
        <w:trPr>
          <w:trHeight w:val="320" w:hRule="atLeast"/>
        </w:trPr>
        <w:tc>
          <w:tcPr>
            <w:tcW w:w="4120" w:type="dxa"/>
            <w:tcBorders>
              <w:top w:val="single" w:sz="4" w:space="0" w:color="000000"/>
              <w:start w:val="single" w:sz="4" w:space="0" w:color="000000"/>
              <w:bottom w:val="single" w:sz="4" w:space="0" w:color="000000"/>
              <w:end w:val="single" w:sz="4" w:space="0" w:color="000000"/>
            </w:tcBorders>
            <w:vAlign w:val="center"/>
          </w:tcPr>
          <w:p>
            <w:pPr>
              <w:pStyle w:val="Normal"/>
              <w:rPr>
                <w:rFonts w:ascii="Arial" w:hAnsi="Arial" w:cs="Arial"/>
                <w:sz w:val="24"/>
              </w:rPr>
            </w:pPr>
            <w:r>
              <w:rPr>
                <w:rFonts w:cs="Arial" w:ascii="Arial" w:hAnsi="Arial"/>
                <w:sz w:val="24"/>
              </w:rPr>
              <w:t>Enron Global Exploration &amp; Production Inc.</w:t>
            </w:r>
          </w:p>
        </w:tc>
        <w:tc>
          <w:tcPr>
            <w:tcW w:w="2931"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w:hAnsi="Arial" w:cs="Arial"/>
                <w:sz w:val="24"/>
              </w:rPr>
            </w:pPr>
            <w:r>
              <w:rPr>
                <w:rFonts w:cs="Arial" w:ascii="Arial" w:hAnsi="Arial"/>
                <w:sz w:val="24"/>
              </w:rPr>
              <w:t>business corporation</w:t>
            </w:r>
          </w:p>
        </w:tc>
        <w:tc>
          <w:tcPr>
            <w:tcW w:w="225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w:hAnsi="Arial" w:cs="Arial"/>
                <w:sz w:val="24"/>
              </w:rPr>
            </w:pPr>
            <w:r>
              <w:rPr>
                <w:rFonts w:cs="Arial" w:ascii="Arial" w:hAnsi="Arial"/>
                <w:sz w:val="24"/>
              </w:rPr>
              <w:t>Delaware</w:t>
            </w:r>
          </w:p>
        </w:tc>
        <w:tc>
          <w:tcPr>
            <w:tcW w:w="271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w:hAnsi="Arial" w:cs="Arial"/>
                <w:sz w:val="24"/>
              </w:rPr>
            </w:pPr>
            <w:r>
              <w:rPr>
                <w:rFonts w:cs="Arial" w:ascii="Arial" w:hAnsi="Arial"/>
                <w:sz w:val="24"/>
              </w:rPr>
              <w:t>100%</w:t>
            </w:r>
          </w:p>
        </w:tc>
      </w:tr>
      <w:tr>
        <w:trPr>
          <w:trHeight w:val="320" w:hRule="atLeast"/>
        </w:trPr>
        <w:tc>
          <w:tcPr>
            <w:tcW w:w="4120" w:type="dxa"/>
            <w:tcBorders>
              <w:top w:val="single" w:sz="4" w:space="0" w:color="000000"/>
              <w:start w:val="single" w:sz="4" w:space="0" w:color="000000"/>
              <w:bottom w:val="single" w:sz="4" w:space="0" w:color="000000"/>
              <w:end w:val="single" w:sz="4" w:space="0" w:color="000000"/>
            </w:tcBorders>
            <w:vAlign w:val="center"/>
          </w:tcPr>
          <w:p>
            <w:pPr>
              <w:pStyle w:val="Normal"/>
              <w:rPr>
                <w:rFonts w:ascii="Arial" w:hAnsi="Arial" w:cs="Arial"/>
                <w:sz w:val="24"/>
              </w:rPr>
            </w:pPr>
            <w:r>
              <w:rPr>
                <w:rFonts w:cs="Arial" w:ascii="Arial" w:hAnsi="Arial"/>
                <w:sz w:val="24"/>
              </w:rPr>
              <w:t>Enron International Mauritius Ltd.</w:t>
            </w:r>
            <w:r>
              <w:rPr>
                <w:rStyle w:val="FootnoteCharacters"/>
                <w:rStyle w:val="FootnoteReference"/>
                <w:rFonts w:cs="Arial" w:ascii="Arial" w:hAnsi="Arial"/>
                <w:sz w:val="24"/>
              </w:rPr>
              <w:footnoteReference w:customMarkFollows="1" w:id="2"/>
              <w:t>*</w:t>
            </w:r>
          </w:p>
        </w:tc>
        <w:tc>
          <w:tcPr>
            <w:tcW w:w="2931"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w:hAnsi="Arial" w:cs="Arial"/>
                <w:sz w:val="24"/>
              </w:rPr>
            </w:pPr>
            <w:r>
              <w:rPr>
                <w:rFonts w:cs="Arial" w:ascii="Arial" w:hAnsi="Arial"/>
                <w:sz w:val="24"/>
              </w:rPr>
              <w:t>exempted company</w:t>
            </w:r>
          </w:p>
        </w:tc>
        <w:tc>
          <w:tcPr>
            <w:tcW w:w="225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w:hAnsi="Arial" w:cs="Arial"/>
                <w:sz w:val="24"/>
              </w:rPr>
            </w:pPr>
            <w:r>
              <w:rPr>
                <w:rFonts w:cs="Arial" w:ascii="Arial" w:hAnsi="Arial"/>
                <w:sz w:val="24"/>
              </w:rPr>
              <w:t>Cayman Islands</w:t>
            </w:r>
          </w:p>
        </w:tc>
        <w:tc>
          <w:tcPr>
            <w:tcW w:w="271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w:hAnsi="Arial" w:cs="Arial"/>
                <w:sz w:val="24"/>
              </w:rPr>
            </w:pPr>
            <w:r>
              <w:rPr>
                <w:rFonts w:cs="Arial" w:ascii="Arial" w:hAnsi="Arial"/>
                <w:sz w:val="24"/>
              </w:rPr>
              <w:t>100%</w:t>
            </w:r>
          </w:p>
        </w:tc>
      </w:tr>
      <w:tr>
        <w:trPr>
          <w:trHeight w:val="320" w:hRule="atLeast"/>
        </w:trPr>
        <w:tc>
          <w:tcPr>
            <w:tcW w:w="4120" w:type="dxa"/>
            <w:tcBorders>
              <w:top w:val="single" w:sz="4" w:space="0" w:color="000000"/>
              <w:start w:val="single" w:sz="4" w:space="0" w:color="000000"/>
              <w:bottom w:val="single" w:sz="4" w:space="0" w:color="000000"/>
              <w:end w:val="single" w:sz="4" w:space="0" w:color="000000"/>
            </w:tcBorders>
            <w:vAlign w:val="center"/>
          </w:tcPr>
          <w:p>
            <w:pPr>
              <w:pStyle w:val="Normal"/>
              <w:rPr>
                <w:rFonts w:ascii="Arial" w:hAnsi="Arial" w:cs="Arial"/>
                <w:sz w:val="24"/>
              </w:rPr>
            </w:pPr>
            <w:r>
              <w:rPr>
                <w:rFonts w:cs="Arial" w:ascii="Arial" w:hAnsi="Arial"/>
                <w:sz w:val="24"/>
              </w:rPr>
              <w:t>Enron Oil &amp; Gas India Ltd.</w:t>
            </w:r>
          </w:p>
        </w:tc>
        <w:tc>
          <w:tcPr>
            <w:tcW w:w="2931"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w:hAnsi="Arial" w:cs="Arial"/>
                <w:sz w:val="24"/>
              </w:rPr>
            </w:pPr>
            <w:r>
              <w:rPr>
                <w:rFonts w:cs="Arial" w:ascii="Arial" w:hAnsi="Arial"/>
                <w:sz w:val="24"/>
              </w:rPr>
              <w:t>exempted company</w:t>
            </w:r>
          </w:p>
        </w:tc>
        <w:tc>
          <w:tcPr>
            <w:tcW w:w="225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w:hAnsi="Arial" w:cs="Arial"/>
                <w:sz w:val="24"/>
              </w:rPr>
            </w:pPr>
            <w:r>
              <w:rPr>
                <w:rFonts w:cs="Arial" w:ascii="Arial" w:hAnsi="Arial"/>
                <w:sz w:val="24"/>
              </w:rPr>
              <w:t>Cayman Islands</w:t>
            </w:r>
          </w:p>
        </w:tc>
        <w:tc>
          <w:tcPr>
            <w:tcW w:w="271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w:hAnsi="Arial" w:cs="Arial"/>
                <w:sz w:val="24"/>
              </w:rPr>
            </w:pPr>
            <w:r>
              <w:rPr>
                <w:rFonts w:cs="Arial" w:ascii="Arial" w:hAnsi="Arial"/>
                <w:sz w:val="24"/>
              </w:rPr>
              <w:t>100%</w:t>
            </w:r>
          </w:p>
        </w:tc>
      </w:tr>
      <w:tr>
        <w:trPr>
          <w:trHeight w:val="320" w:hRule="atLeast"/>
        </w:trPr>
        <w:tc>
          <w:tcPr>
            <w:tcW w:w="4120" w:type="dxa"/>
            <w:tcBorders>
              <w:top w:val="single" w:sz="4" w:space="0" w:color="000000"/>
              <w:start w:val="single" w:sz="4" w:space="0" w:color="000000"/>
              <w:bottom w:val="single" w:sz="4" w:space="0" w:color="000000"/>
              <w:end w:val="single" w:sz="4" w:space="0" w:color="000000"/>
            </w:tcBorders>
            <w:vAlign w:val="center"/>
          </w:tcPr>
          <w:p>
            <w:pPr>
              <w:pStyle w:val="Normal"/>
              <w:rPr>
                <w:rFonts w:ascii="Arial" w:hAnsi="Arial" w:cs="Arial"/>
                <w:sz w:val="24"/>
              </w:rPr>
            </w:pPr>
            <w:r>
              <w:rPr>
                <w:rFonts w:cs="Arial" w:ascii="Arial" w:hAnsi="Arial"/>
                <w:sz w:val="24"/>
              </w:rPr>
              <w:t>EOGI-China, Inc.</w:t>
            </w:r>
          </w:p>
        </w:tc>
        <w:tc>
          <w:tcPr>
            <w:tcW w:w="2931"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w:hAnsi="Arial" w:cs="Arial"/>
                <w:sz w:val="24"/>
              </w:rPr>
            </w:pPr>
            <w:r>
              <w:rPr>
                <w:rFonts w:cs="Arial" w:ascii="Arial" w:hAnsi="Arial"/>
                <w:sz w:val="24"/>
              </w:rPr>
              <w:t>business corporation</w:t>
            </w:r>
          </w:p>
        </w:tc>
        <w:tc>
          <w:tcPr>
            <w:tcW w:w="225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w:hAnsi="Arial" w:cs="Arial"/>
                <w:sz w:val="24"/>
              </w:rPr>
            </w:pPr>
            <w:r>
              <w:rPr>
                <w:rFonts w:cs="Arial" w:ascii="Arial" w:hAnsi="Arial"/>
                <w:sz w:val="24"/>
              </w:rPr>
              <w:t>Delaware</w:t>
            </w:r>
          </w:p>
        </w:tc>
        <w:tc>
          <w:tcPr>
            <w:tcW w:w="271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w:hAnsi="Arial" w:cs="Arial"/>
                <w:sz w:val="24"/>
              </w:rPr>
            </w:pPr>
            <w:r>
              <w:rPr>
                <w:rFonts w:cs="Arial" w:ascii="Arial" w:hAnsi="Arial"/>
                <w:sz w:val="24"/>
              </w:rPr>
              <w:t>100%</w:t>
            </w:r>
          </w:p>
        </w:tc>
      </w:tr>
      <w:tr>
        <w:trPr>
          <w:trHeight w:val="320" w:hRule="atLeast"/>
        </w:trPr>
        <w:tc>
          <w:tcPr>
            <w:tcW w:w="4120" w:type="dxa"/>
            <w:tcBorders>
              <w:top w:val="single" w:sz="4" w:space="0" w:color="000000"/>
              <w:start w:val="single" w:sz="4" w:space="0" w:color="000000"/>
              <w:bottom w:val="single" w:sz="4" w:space="0" w:color="000000"/>
              <w:end w:val="single" w:sz="4" w:space="0" w:color="000000"/>
            </w:tcBorders>
            <w:vAlign w:val="center"/>
          </w:tcPr>
          <w:p>
            <w:pPr>
              <w:pStyle w:val="Normal"/>
              <w:rPr>
                <w:rFonts w:ascii="Arial" w:hAnsi="Arial" w:cs="Arial"/>
                <w:sz w:val="24"/>
              </w:rPr>
            </w:pPr>
            <w:r>
              <w:rPr>
                <w:rFonts w:cs="Arial" w:ascii="Arial" w:hAnsi="Arial"/>
                <w:sz w:val="24"/>
              </w:rPr>
              <w:t>EGEP Korea Ltd.</w:t>
            </w:r>
          </w:p>
        </w:tc>
        <w:tc>
          <w:tcPr>
            <w:tcW w:w="2931"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w:hAnsi="Arial" w:cs="Arial"/>
                <w:sz w:val="24"/>
              </w:rPr>
            </w:pPr>
            <w:r>
              <w:rPr>
                <w:rFonts w:cs="Arial" w:ascii="Arial" w:hAnsi="Arial"/>
                <w:sz w:val="24"/>
              </w:rPr>
              <w:t>exempted company</w:t>
            </w:r>
          </w:p>
        </w:tc>
        <w:tc>
          <w:tcPr>
            <w:tcW w:w="225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w:hAnsi="Arial" w:cs="Arial"/>
                <w:sz w:val="24"/>
              </w:rPr>
            </w:pPr>
            <w:r>
              <w:rPr>
                <w:rFonts w:cs="Arial" w:ascii="Arial" w:hAnsi="Arial"/>
                <w:sz w:val="24"/>
              </w:rPr>
              <w:t>Cayman Islands</w:t>
            </w:r>
          </w:p>
        </w:tc>
        <w:tc>
          <w:tcPr>
            <w:tcW w:w="271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w:hAnsi="Arial" w:cs="Arial"/>
                <w:sz w:val="24"/>
              </w:rPr>
            </w:pPr>
            <w:r>
              <w:rPr>
                <w:rFonts w:cs="Arial" w:ascii="Arial" w:hAnsi="Arial"/>
                <w:sz w:val="24"/>
              </w:rPr>
              <w:t>100%</w:t>
            </w:r>
          </w:p>
        </w:tc>
      </w:tr>
      <w:tr>
        <w:trPr>
          <w:trHeight w:val="320" w:hRule="atLeast"/>
        </w:trPr>
        <w:tc>
          <w:tcPr>
            <w:tcW w:w="4120" w:type="dxa"/>
            <w:tcBorders>
              <w:top w:val="single" w:sz="4" w:space="0" w:color="000000"/>
              <w:start w:val="single" w:sz="4" w:space="0" w:color="000000"/>
              <w:bottom w:val="single" w:sz="4" w:space="0" w:color="000000"/>
              <w:end w:val="single" w:sz="4" w:space="0" w:color="000000"/>
            </w:tcBorders>
            <w:vAlign w:val="center"/>
          </w:tcPr>
          <w:p>
            <w:pPr>
              <w:pStyle w:val="Normal"/>
              <w:rPr>
                <w:rFonts w:ascii="Arial" w:hAnsi="Arial" w:cs="Arial"/>
                <w:sz w:val="24"/>
              </w:rPr>
            </w:pPr>
            <w:r>
              <w:rPr>
                <w:rFonts w:cs="Arial" w:ascii="Arial" w:hAnsi="Arial"/>
                <w:sz w:val="24"/>
              </w:rPr>
              <w:t>DJ Oil &amp; Gas Limited Liability Company</w:t>
            </w:r>
          </w:p>
        </w:tc>
        <w:tc>
          <w:tcPr>
            <w:tcW w:w="2931"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w:hAnsi="Arial" w:cs="Arial"/>
                <w:sz w:val="24"/>
              </w:rPr>
            </w:pPr>
            <w:r>
              <w:rPr>
                <w:rFonts w:cs="Arial" w:ascii="Arial" w:hAnsi="Arial"/>
                <w:sz w:val="24"/>
              </w:rPr>
              <w:t>limited liability company</w:t>
            </w:r>
          </w:p>
        </w:tc>
        <w:tc>
          <w:tcPr>
            <w:tcW w:w="225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w:hAnsi="Arial" w:cs="Arial"/>
                <w:sz w:val="24"/>
              </w:rPr>
            </w:pPr>
            <w:r>
              <w:rPr>
                <w:rFonts w:cs="Arial" w:ascii="Arial" w:hAnsi="Arial"/>
                <w:sz w:val="24"/>
              </w:rPr>
              <w:t>Delaware</w:t>
            </w:r>
          </w:p>
        </w:tc>
        <w:tc>
          <w:tcPr>
            <w:tcW w:w="271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w:hAnsi="Arial" w:cs="Arial"/>
                <w:sz w:val="24"/>
              </w:rPr>
            </w:pPr>
            <w:r>
              <w:rPr>
                <w:rFonts w:cs="Arial" w:ascii="Arial" w:hAnsi="Arial"/>
                <w:sz w:val="24"/>
              </w:rPr>
              <w:t>100%</w:t>
            </w:r>
          </w:p>
        </w:tc>
      </w:tr>
      <w:tr>
        <w:trPr>
          <w:trHeight w:val="320" w:hRule="atLeast"/>
        </w:trPr>
        <w:tc>
          <w:tcPr>
            <w:tcW w:w="4120" w:type="dxa"/>
            <w:tcBorders>
              <w:top w:val="single" w:sz="4" w:space="0" w:color="000000"/>
              <w:start w:val="single" w:sz="4" w:space="0" w:color="000000"/>
              <w:bottom w:val="single" w:sz="4" w:space="0" w:color="000000"/>
              <w:end w:val="single" w:sz="4" w:space="0" w:color="000000"/>
            </w:tcBorders>
            <w:vAlign w:val="center"/>
          </w:tcPr>
          <w:p>
            <w:pPr>
              <w:pStyle w:val="Normal"/>
              <w:rPr>
                <w:rFonts w:ascii="Arial" w:hAnsi="Arial" w:cs="Arial"/>
                <w:sz w:val="24"/>
              </w:rPr>
            </w:pPr>
            <w:r>
              <w:rPr>
                <w:rFonts w:cs="Arial" w:ascii="Arial" w:hAnsi="Arial"/>
                <w:sz w:val="24"/>
              </w:rPr>
              <w:t>Enron India GDR Holding Ltd.</w:t>
            </w:r>
          </w:p>
        </w:tc>
        <w:tc>
          <w:tcPr>
            <w:tcW w:w="2931"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w:hAnsi="Arial" w:cs="Arial"/>
                <w:sz w:val="24"/>
              </w:rPr>
            </w:pPr>
            <w:r>
              <w:rPr>
                <w:rFonts w:cs="Arial" w:ascii="Arial" w:hAnsi="Arial"/>
                <w:sz w:val="24"/>
              </w:rPr>
              <w:t>exempted company</w:t>
            </w:r>
          </w:p>
        </w:tc>
        <w:tc>
          <w:tcPr>
            <w:tcW w:w="225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w:hAnsi="Arial" w:cs="Arial"/>
                <w:sz w:val="24"/>
              </w:rPr>
            </w:pPr>
            <w:r>
              <w:rPr>
                <w:rFonts w:cs="Arial" w:ascii="Arial" w:hAnsi="Arial"/>
                <w:sz w:val="24"/>
              </w:rPr>
              <w:t>Cayman Islands</w:t>
            </w:r>
          </w:p>
        </w:tc>
        <w:tc>
          <w:tcPr>
            <w:tcW w:w="271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w:hAnsi="Arial" w:cs="Arial"/>
                <w:sz w:val="24"/>
              </w:rPr>
            </w:pPr>
            <w:r>
              <w:rPr>
                <w:rFonts w:cs="Arial" w:ascii="Arial" w:hAnsi="Arial"/>
                <w:sz w:val="24"/>
              </w:rPr>
              <w:t>100%</w:t>
            </w:r>
          </w:p>
        </w:tc>
      </w:tr>
      <w:tr>
        <w:trPr>
          <w:trHeight w:val="320" w:hRule="atLeast"/>
        </w:trPr>
        <w:tc>
          <w:tcPr>
            <w:tcW w:w="4120" w:type="dxa"/>
            <w:tcBorders>
              <w:top w:val="single" w:sz="4" w:space="0" w:color="000000"/>
              <w:start w:val="single" w:sz="4" w:space="0" w:color="000000"/>
              <w:bottom w:val="single" w:sz="4" w:space="0" w:color="000000"/>
              <w:end w:val="single" w:sz="4" w:space="0" w:color="000000"/>
            </w:tcBorders>
            <w:vAlign w:val="center"/>
          </w:tcPr>
          <w:p>
            <w:pPr>
              <w:pStyle w:val="Normal"/>
              <w:rPr>
                <w:rFonts w:ascii="Arial" w:hAnsi="Arial" w:cs="Arial"/>
                <w:sz w:val="24"/>
              </w:rPr>
            </w:pPr>
            <w:r>
              <w:rPr>
                <w:rFonts w:cs="Arial" w:ascii="Arial" w:hAnsi="Arial"/>
                <w:sz w:val="24"/>
              </w:rPr>
              <w:t>EOGI China Company</w:t>
            </w:r>
          </w:p>
        </w:tc>
        <w:tc>
          <w:tcPr>
            <w:tcW w:w="2931"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w:hAnsi="Arial" w:cs="Arial"/>
                <w:sz w:val="24"/>
              </w:rPr>
            </w:pPr>
            <w:r>
              <w:rPr>
                <w:rFonts w:cs="Arial" w:ascii="Arial" w:hAnsi="Arial"/>
                <w:sz w:val="24"/>
              </w:rPr>
              <w:t>exempted company</w:t>
            </w:r>
          </w:p>
        </w:tc>
        <w:tc>
          <w:tcPr>
            <w:tcW w:w="225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w:hAnsi="Arial" w:cs="Arial"/>
                <w:sz w:val="24"/>
              </w:rPr>
            </w:pPr>
            <w:r>
              <w:rPr>
                <w:rFonts w:cs="Arial" w:ascii="Arial" w:hAnsi="Arial"/>
                <w:sz w:val="24"/>
              </w:rPr>
              <w:t>Cayman Islands</w:t>
            </w:r>
          </w:p>
        </w:tc>
        <w:tc>
          <w:tcPr>
            <w:tcW w:w="271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w:hAnsi="Arial" w:cs="Arial"/>
                <w:sz w:val="24"/>
              </w:rPr>
            </w:pPr>
            <w:r>
              <w:rPr>
                <w:rFonts w:cs="Arial" w:ascii="Arial" w:hAnsi="Arial"/>
                <w:sz w:val="24"/>
              </w:rPr>
              <w:t>100%</w:t>
            </w:r>
          </w:p>
        </w:tc>
      </w:tr>
      <w:tr>
        <w:trPr>
          <w:trHeight w:val="320" w:hRule="atLeast"/>
        </w:trPr>
        <w:tc>
          <w:tcPr>
            <w:tcW w:w="4120" w:type="dxa"/>
            <w:tcBorders>
              <w:top w:val="single" w:sz="4" w:space="0" w:color="000000"/>
              <w:start w:val="single" w:sz="4" w:space="0" w:color="000000"/>
              <w:bottom w:val="single" w:sz="4" w:space="0" w:color="000000"/>
              <w:end w:val="single" w:sz="4" w:space="0" w:color="000000"/>
            </w:tcBorders>
            <w:vAlign w:val="center"/>
          </w:tcPr>
          <w:p>
            <w:pPr>
              <w:pStyle w:val="Normal"/>
              <w:rPr>
                <w:rFonts w:ascii="Arial" w:hAnsi="Arial" w:cs="Arial"/>
                <w:sz w:val="24"/>
              </w:rPr>
            </w:pPr>
            <w:r>
              <w:rPr>
                <w:rFonts w:cs="Arial" w:ascii="Arial" w:hAnsi="Arial"/>
                <w:sz w:val="24"/>
              </w:rPr>
              <w:t>Enron Oil &amp; Gas China International Ltd.</w:t>
            </w:r>
          </w:p>
        </w:tc>
        <w:tc>
          <w:tcPr>
            <w:tcW w:w="2931"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w:hAnsi="Arial" w:cs="Arial"/>
                <w:sz w:val="24"/>
              </w:rPr>
            </w:pPr>
            <w:r>
              <w:rPr>
                <w:rFonts w:cs="Arial" w:ascii="Arial" w:hAnsi="Arial"/>
                <w:sz w:val="24"/>
              </w:rPr>
              <w:t>exempted company</w:t>
            </w:r>
          </w:p>
        </w:tc>
        <w:tc>
          <w:tcPr>
            <w:tcW w:w="225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w:hAnsi="Arial" w:cs="Arial"/>
                <w:sz w:val="24"/>
              </w:rPr>
            </w:pPr>
            <w:r>
              <w:rPr>
                <w:rFonts w:cs="Arial" w:ascii="Arial" w:hAnsi="Arial"/>
                <w:sz w:val="24"/>
              </w:rPr>
              <w:t>Cayman Islands</w:t>
            </w:r>
          </w:p>
        </w:tc>
        <w:tc>
          <w:tcPr>
            <w:tcW w:w="271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w:hAnsi="Arial" w:cs="Arial"/>
                <w:sz w:val="24"/>
              </w:rPr>
            </w:pPr>
            <w:r>
              <w:rPr>
                <w:rFonts w:cs="Arial" w:ascii="Arial" w:hAnsi="Arial"/>
                <w:sz w:val="24"/>
              </w:rPr>
              <w:t>100%</w:t>
            </w:r>
          </w:p>
        </w:tc>
      </w:tr>
      <w:tr>
        <w:trPr>
          <w:trHeight w:val="320" w:hRule="atLeast"/>
        </w:trPr>
        <w:tc>
          <w:tcPr>
            <w:tcW w:w="4120" w:type="dxa"/>
            <w:tcBorders>
              <w:top w:val="single" w:sz="4" w:space="0" w:color="000000"/>
              <w:start w:val="single" w:sz="4" w:space="0" w:color="000000"/>
              <w:bottom w:val="single" w:sz="4" w:space="0" w:color="000000"/>
              <w:end w:val="single" w:sz="4" w:space="0" w:color="000000"/>
            </w:tcBorders>
            <w:vAlign w:val="center"/>
          </w:tcPr>
          <w:p>
            <w:pPr>
              <w:pStyle w:val="Normal"/>
              <w:rPr>
                <w:rFonts w:ascii="Arial" w:hAnsi="Arial" w:cs="Arial"/>
                <w:sz w:val="24"/>
              </w:rPr>
            </w:pPr>
            <w:r>
              <w:rPr>
                <w:rFonts w:cs="Arial" w:ascii="Arial" w:hAnsi="Arial"/>
                <w:sz w:val="24"/>
              </w:rPr>
              <w:t>Enron Oil &amp; Gas Korea Ltd.</w:t>
            </w:r>
          </w:p>
        </w:tc>
        <w:tc>
          <w:tcPr>
            <w:tcW w:w="2931"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w:hAnsi="Arial" w:cs="Arial"/>
                <w:sz w:val="24"/>
              </w:rPr>
            </w:pPr>
            <w:r>
              <w:rPr>
                <w:rFonts w:cs="Arial" w:ascii="Arial" w:hAnsi="Arial"/>
                <w:sz w:val="24"/>
              </w:rPr>
              <w:t>exempted company</w:t>
            </w:r>
          </w:p>
        </w:tc>
        <w:tc>
          <w:tcPr>
            <w:tcW w:w="225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w:hAnsi="Arial" w:cs="Arial"/>
                <w:sz w:val="24"/>
              </w:rPr>
            </w:pPr>
            <w:r>
              <w:rPr>
                <w:rFonts w:cs="Arial" w:ascii="Arial" w:hAnsi="Arial"/>
                <w:sz w:val="24"/>
              </w:rPr>
              <w:t>Cayman Islands</w:t>
            </w:r>
          </w:p>
        </w:tc>
        <w:tc>
          <w:tcPr>
            <w:tcW w:w="271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w:hAnsi="Arial" w:cs="Arial"/>
                <w:sz w:val="24"/>
              </w:rPr>
            </w:pPr>
            <w:r>
              <w:rPr>
                <w:rFonts w:cs="Arial" w:ascii="Arial" w:hAnsi="Arial"/>
                <w:sz w:val="24"/>
              </w:rPr>
              <w:t>100%</w:t>
            </w:r>
          </w:p>
        </w:tc>
      </w:tr>
      <w:tr>
        <w:trPr>
          <w:trHeight w:val="320" w:hRule="atLeast"/>
        </w:trPr>
        <w:tc>
          <w:tcPr>
            <w:tcW w:w="4120" w:type="dxa"/>
            <w:tcBorders>
              <w:top w:val="single" w:sz="4" w:space="0" w:color="000000"/>
              <w:start w:val="single" w:sz="4" w:space="0" w:color="000000"/>
              <w:bottom w:val="single" w:sz="4" w:space="0" w:color="000000"/>
              <w:end w:val="single" w:sz="4" w:space="0" w:color="000000"/>
            </w:tcBorders>
            <w:vAlign w:val="center"/>
          </w:tcPr>
          <w:p>
            <w:pPr>
              <w:pStyle w:val="Normal"/>
              <w:rPr>
                <w:rFonts w:ascii="Arial" w:hAnsi="Arial" w:cs="Arial"/>
                <w:sz w:val="24"/>
              </w:rPr>
            </w:pPr>
            <w:r>
              <w:rPr>
                <w:rFonts w:cs="Arial" w:ascii="Arial" w:hAnsi="Arial"/>
                <w:sz w:val="24"/>
              </w:rPr>
              <w:t>Enron Oil &amp; Gas China Ltd.</w:t>
            </w:r>
          </w:p>
        </w:tc>
        <w:tc>
          <w:tcPr>
            <w:tcW w:w="2931"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w:hAnsi="Arial" w:cs="Arial"/>
                <w:sz w:val="24"/>
              </w:rPr>
            </w:pPr>
            <w:r>
              <w:rPr>
                <w:rFonts w:cs="Arial" w:ascii="Arial" w:hAnsi="Arial"/>
                <w:sz w:val="24"/>
              </w:rPr>
              <w:t>exempted company</w:t>
            </w:r>
          </w:p>
        </w:tc>
        <w:tc>
          <w:tcPr>
            <w:tcW w:w="225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w:hAnsi="Arial" w:cs="Arial"/>
                <w:sz w:val="24"/>
              </w:rPr>
            </w:pPr>
            <w:r>
              <w:rPr>
                <w:rFonts w:cs="Arial" w:ascii="Arial" w:hAnsi="Arial"/>
                <w:sz w:val="24"/>
              </w:rPr>
              <w:t>Cayman Islands</w:t>
            </w:r>
          </w:p>
        </w:tc>
        <w:tc>
          <w:tcPr>
            <w:tcW w:w="271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w:hAnsi="Arial" w:cs="Arial"/>
                <w:sz w:val="24"/>
              </w:rPr>
            </w:pPr>
            <w:r>
              <w:rPr>
                <w:rFonts w:cs="Arial" w:ascii="Arial" w:hAnsi="Arial"/>
                <w:sz w:val="24"/>
              </w:rPr>
              <w:t>100%</w:t>
            </w:r>
          </w:p>
        </w:tc>
      </w:tr>
    </w:tbl>
    <w:p>
      <w:pPr>
        <w:pStyle w:val="Normal"/>
        <w:rPr/>
      </w:pPr>
      <w:r>
        <w:rPr/>
      </w:r>
    </w:p>
    <w:p>
      <w:pPr>
        <w:pStyle w:val="Normal"/>
        <w:rPr/>
      </w:pPr>
      <w:r>
        <w:rPr/>
      </w:r>
    </w:p>
    <w:p>
      <w:pPr>
        <w:pStyle w:val="Normal"/>
        <w:rPr/>
      </w:pPr>
      <w:r>
        <w:rPr/>
      </w:r>
    </w:p>
    <w:p>
      <w:pPr>
        <w:sectPr>
          <w:headerReference w:type="default" r:id="rId2"/>
          <w:footerReference w:type="default" r:id="rId3"/>
          <w:footnotePr>
            <w:numFmt w:val="decimal"/>
          </w:footnotePr>
          <w:type w:val="nextPage"/>
          <w:pgSz w:orient="landscape" w:w="15840" w:h="12240"/>
          <w:pgMar w:left="1440" w:right="1440" w:gutter="0" w:header="720" w:top="1800" w:footer="720" w:bottom="1800"/>
          <w:pgNumType w:fmt="decimal"/>
          <w:formProt w:val="false"/>
          <w:textDirection w:val="lrTb"/>
          <w:docGrid w:type="default" w:linePitch="360" w:charSpace="0"/>
        </w:sectPr>
        <w:pStyle w:val="Normal"/>
        <w:rPr/>
      </w:pPr>
      <w:r>
        <w:rPr/>
      </w:r>
    </w:p>
    <w:p>
      <w:pPr>
        <w:pStyle w:val="FootnoteText"/>
        <w:jc w:val="center"/>
        <w:rPr>
          <w:rFonts w:ascii="Arial" w:hAnsi="Arial" w:cs="Arial"/>
          <w:b/>
          <w:sz w:val="24"/>
        </w:rPr>
      </w:pPr>
      <w:r>
        <w:rPr>
          <w:rFonts w:cs="Arial" w:ascii="Arial" w:hAnsi="Arial"/>
          <w:b/>
          <w:sz w:val="24"/>
        </w:rPr>
        <w:t>SCHEDULE 5.03(A)</w:t>
      </w:r>
    </w:p>
    <w:p>
      <w:pPr>
        <w:pStyle w:val="FootnoteText"/>
        <w:jc w:val="center"/>
        <w:rPr>
          <w:rFonts w:ascii="Arial" w:hAnsi="Arial" w:cs="Arial"/>
          <w:b/>
          <w:sz w:val="24"/>
        </w:rPr>
      </w:pPr>
      <w:r>
        <w:rPr>
          <w:rFonts w:cs="Arial" w:ascii="Arial" w:hAnsi="Arial"/>
          <w:b/>
          <w:sz w:val="24"/>
        </w:rPr>
        <w:t>EGEP GROUP OF COMPANIES</w:t>
      </w:r>
    </w:p>
    <w:p>
      <w:pPr>
        <w:pStyle w:val="FootnoteText"/>
        <w:rPr>
          <w:rFonts w:ascii="Arial" w:hAnsi="Arial" w:cs="Arial"/>
          <w:b/>
          <w:sz w:val="24"/>
        </w:rPr>
      </w:pPr>
      <w:r>
        <w:rPr>
          <w:rFonts w:cs="Arial" w:ascii="Arial" w:hAnsi="Arial"/>
          <w:b/>
          <w:sz w:val="24"/>
        </w:rPr>
      </w:r>
    </w:p>
    <w:p>
      <w:pPr>
        <w:pStyle w:val="Normal"/>
        <w:rPr/>
      </w:pPr>
      <w:r>
        <w:rPr/>
      </w:r>
    </w:p>
    <w:tbl>
      <w:tblPr>
        <w:tblW w:w="12888" w:type="dxa"/>
        <w:jc w:val="start"/>
        <w:tblInd w:w="0" w:type="dxa"/>
        <w:tblLayout w:type="fixed"/>
        <w:tblCellMar>
          <w:top w:w="0" w:type="dxa"/>
          <w:start w:w="108" w:type="dxa"/>
          <w:bottom w:w="0" w:type="dxa"/>
          <w:end w:w="108" w:type="dxa"/>
        </w:tblCellMar>
      </w:tblPr>
      <w:tblGrid>
        <w:gridCol w:w="3978"/>
        <w:gridCol w:w="2070"/>
        <w:gridCol w:w="1530"/>
        <w:gridCol w:w="1710"/>
        <w:gridCol w:w="3600"/>
      </w:tblGrid>
      <w:tr>
        <w:trPr/>
        <w:tc>
          <w:tcPr>
            <w:tcW w:w="3978"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center"/>
              <w:rPr>
                <w:rFonts w:ascii="Arial" w:hAnsi="Arial" w:cs="Arial"/>
                <w:b/>
                <w:sz w:val="24"/>
              </w:rPr>
            </w:pPr>
            <w:r>
              <w:rPr>
                <w:rFonts w:cs="Arial" w:ascii="Arial" w:hAnsi="Arial"/>
                <w:b/>
                <w:sz w:val="24"/>
              </w:rPr>
              <w:t>Company Name</w:t>
            </w:r>
          </w:p>
        </w:tc>
        <w:tc>
          <w:tcPr>
            <w:tcW w:w="207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sz w:val="24"/>
              </w:rPr>
            </w:pPr>
            <w:r>
              <w:rPr>
                <w:rFonts w:cs="Arial" w:ascii="Arial" w:hAnsi="Arial"/>
                <w:b/>
                <w:sz w:val="24"/>
              </w:rPr>
              <w:t>Description of Equity Security</w:t>
            </w:r>
          </w:p>
        </w:tc>
        <w:tc>
          <w:tcPr>
            <w:tcW w:w="153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sz w:val="24"/>
              </w:rPr>
            </w:pPr>
            <w:r>
              <w:rPr>
                <w:rFonts w:cs="Arial" w:ascii="Arial" w:hAnsi="Arial"/>
                <w:b/>
                <w:sz w:val="24"/>
              </w:rPr>
              <w:t>Number of Authorized Shares</w:t>
            </w:r>
          </w:p>
        </w:tc>
        <w:tc>
          <w:tcPr>
            <w:tcW w:w="171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sz w:val="24"/>
              </w:rPr>
            </w:pPr>
            <w:r>
              <w:rPr>
                <w:rFonts w:cs="Arial" w:ascii="Arial" w:hAnsi="Arial"/>
                <w:b/>
                <w:sz w:val="24"/>
              </w:rPr>
              <w:t>Total Outstanding Shares</w:t>
            </w:r>
          </w:p>
        </w:tc>
        <w:tc>
          <w:tcPr>
            <w:tcW w:w="36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sz w:val="24"/>
              </w:rPr>
            </w:pPr>
            <w:r>
              <w:rPr>
                <w:rFonts w:cs="Arial" w:ascii="Arial" w:hAnsi="Arial"/>
                <w:b/>
                <w:sz w:val="24"/>
              </w:rPr>
              <w:t xml:space="preserve">Outstanding Shares </w:t>
            </w:r>
          </w:p>
          <w:p>
            <w:pPr>
              <w:pStyle w:val="Normal"/>
              <w:jc w:val="center"/>
              <w:rPr>
                <w:rFonts w:ascii="Arial" w:hAnsi="Arial" w:cs="Arial"/>
                <w:b/>
                <w:sz w:val="24"/>
              </w:rPr>
            </w:pPr>
            <w:r>
              <w:rPr>
                <w:rFonts w:cs="Arial" w:ascii="Arial" w:hAnsi="Arial"/>
                <w:b/>
                <w:sz w:val="24"/>
              </w:rPr>
              <w:t>Owned Directly/Indirectly</w:t>
            </w:r>
          </w:p>
          <w:p>
            <w:pPr>
              <w:pStyle w:val="Normal"/>
              <w:jc w:val="center"/>
              <w:rPr>
                <w:rFonts w:ascii="Arial" w:hAnsi="Arial" w:cs="Arial"/>
                <w:b/>
                <w:sz w:val="24"/>
              </w:rPr>
            </w:pPr>
            <w:r>
              <w:rPr>
                <w:rFonts w:cs="Arial" w:ascii="Arial" w:hAnsi="Arial"/>
                <w:b/>
                <w:sz w:val="24"/>
              </w:rPr>
              <w:t>by Enron Corp.</w:t>
            </w:r>
          </w:p>
        </w:tc>
      </w:tr>
      <w:tr>
        <w:trPr/>
        <w:tc>
          <w:tcPr>
            <w:tcW w:w="397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4"/>
              </w:rPr>
            </w:pPr>
            <w:r>
              <w:rPr>
                <w:rFonts w:cs="Arial" w:ascii="Arial" w:hAnsi="Arial"/>
                <w:sz w:val="24"/>
              </w:rPr>
              <w:t>EOGI – India, Inc.</w:t>
            </w:r>
          </w:p>
        </w:tc>
        <w:tc>
          <w:tcPr>
            <w:tcW w:w="207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4"/>
              </w:rPr>
            </w:pPr>
            <w:r>
              <w:rPr>
                <w:rFonts w:cs="Arial" w:ascii="Arial" w:hAnsi="Arial"/>
                <w:sz w:val="24"/>
              </w:rPr>
              <w:t>common stock</w:t>
            </w:r>
          </w:p>
        </w:tc>
        <w:tc>
          <w:tcPr>
            <w:tcW w:w="153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4"/>
              </w:rPr>
            </w:pPr>
            <w:r>
              <w:rPr>
                <w:rFonts w:cs="Arial" w:ascii="Arial" w:hAnsi="Arial"/>
                <w:sz w:val="24"/>
              </w:rPr>
              <w:t>10,000</w:t>
            </w:r>
          </w:p>
        </w:tc>
        <w:tc>
          <w:tcPr>
            <w:tcW w:w="171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4"/>
              </w:rPr>
            </w:pPr>
            <w:r>
              <w:rPr>
                <w:rFonts w:cs="Arial" w:ascii="Arial" w:hAnsi="Arial"/>
                <w:sz w:val="24"/>
              </w:rPr>
              <w:t>1,000</w:t>
            </w:r>
          </w:p>
        </w:tc>
        <w:tc>
          <w:tcPr>
            <w:tcW w:w="36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4"/>
              </w:rPr>
            </w:pPr>
            <w:r>
              <w:rPr>
                <w:rFonts w:cs="Arial" w:ascii="Arial" w:hAnsi="Arial"/>
                <w:sz w:val="24"/>
              </w:rPr>
              <w:t>1,000</w:t>
            </w:r>
          </w:p>
        </w:tc>
      </w:tr>
      <w:tr>
        <w:trPr/>
        <w:tc>
          <w:tcPr>
            <w:tcW w:w="397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4"/>
              </w:rPr>
            </w:pPr>
            <w:r>
              <w:rPr>
                <w:rFonts w:cs="Arial" w:ascii="Arial" w:hAnsi="Arial"/>
                <w:sz w:val="24"/>
              </w:rPr>
              <w:t>Enron Global Exploration &amp; Production Inc.</w:t>
            </w:r>
          </w:p>
        </w:tc>
        <w:tc>
          <w:tcPr>
            <w:tcW w:w="2070" w:type="dxa"/>
            <w:tcBorders>
              <w:top w:val="single" w:sz="4" w:space="0" w:color="000000"/>
              <w:start w:val="single" w:sz="4" w:space="0" w:color="000000"/>
              <w:bottom w:val="single" w:sz="4" w:space="0" w:color="000000"/>
              <w:end w:val="single" w:sz="4" w:space="0" w:color="000000"/>
            </w:tcBorders>
          </w:tcPr>
          <w:p>
            <w:pPr>
              <w:pStyle w:val="Heading1"/>
              <w:ind w:hanging="0" w:start="0"/>
              <w:rPr>
                <w:b w:val="false"/>
              </w:rPr>
            </w:pPr>
            <w:r>
              <w:rPr>
                <w:b w:val="false"/>
              </w:rPr>
              <w:t>common stock</w:t>
            </w:r>
          </w:p>
        </w:tc>
        <w:tc>
          <w:tcPr>
            <w:tcW w:w="153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4"/>
              </w:rPr>
            </w:pPr>
            <w:r>
              <w:rPr>
                <w:rFonts w:cs="Arial" w:ascii="Arial" w:hAnsi="Arial"/>
                <w:sz w:val="24"/>
              </w:rPr>
              <w:t>10,000</w:t>
            </w:r>
          </w:p>
        </w:tc>
        <w:tc>
          <w:tcPr>
            <w:tcW w:w="171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4"/>
              </w:rPr>
            </w:pPr>
            <w:r>
              <w:rPr>
                <w:rFonts w:cs="Arial" w:ascii="Arial" w:hAnsi="Arial"/>
                <w:sz w:val="24"/>
              </w:rPr>
              <w:t>1,000</w:t>
            </w:r>
          </w:p>
        </w:tc>
        <w:tc>
          <w:tcPr>
            <w:tcW w:w="36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4"/>
              </w:rPr>
            </w:pPr>
            <w:r>
              <w:rPr>
                <w:rFonts w:cs="Arial" w:ascii="Arial" w:hAnsi="Arial"/>
                <w:sz w:val="24"/>
              </w:rPr>
              <w:t>1,000</w:t>
            </w:r>
          </w:p>
        </w:tc>
      </w:tr>
      <w:tr>
        <w:trPr/>
        <w:tc>
          <w:tcPr>
            <w:tcW w:w="397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4"/>
              </w:rPr>
            </w:pPr>
            <w:r>
              <w:rPr>
                <w:rFonts w:cs="Arial" w:ascii="Arial" w:hAnsi="Arial"/>
                <w:sz w:val="24"/>
              </w:rPr>
              <w:t>Enron Oil &amp; Gas India Ltd.</w:t>
            </w:r>
          </w:p>
        </w:tc>
        <w:tc>
          <w:tcPr>
            <w:tcW w:w="207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4"/>
              </w:rPr>
            </w:pPr>
            <w:r>
              <w:rPr>
                <w:rFonts w:cs="Arial" w:ascii="Arial" w:hAnsi="Arial"/>
                <w:sz w:val="24"/>
              </w:rPr>
              <w:t>common stock</w:t>
            </w:r>
          </w:p>
        </w:tc>
        <w:tc>
          <w:tcPr>
            <w:tcW w:w="153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4"/>
              </w:rPr>
            </w:pPr>
            <w:r>
              <w:rPr>
                <w:rFonts w:cs="Arial" w:ascii="Arial" w:hAnsi="Arial"/>
                <w:sz w:val="24"/>
              </w:rPr>
              <w:t>10,000</w:t>
            </w:r>
          </w:p>
        </w:tc>
        <w:tc>
          <w:tcPr>
            <w:tcW w:w="171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4"/>
              </w:rPr>
            </w:pPr>
            <w:r>
              <w:rPr>
                <w:rFonts w:cs="Arial" w:ascii="Arial" w:hAnsi="Arial"/>
                <w:sz w:val="24"/>
              </w:rPr>
              <w:t>1,000</w:t>
            </w:r>
          </w:p>
        </w:tc>
        <w:tc>
          <w:tcPr>
            <w:tcW w:w="36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4"/>
              </w:rPr>
            </w:pPr>
            <w:r>
              <w:rPr>
                <w:rFonts w:cs="Arial" w:ascii="Arial" w:hAnsi="Arial"/>
                <w:sz w:val="24"/>
              </w:rPr>
              <w:t>1,000</w:t>
            </w:r>
          </w:p>
        </w:tc>
      </w:tr>
      <w:tr>
        <w:trPr/>
        <w:tc>
          <w:tcPr>
            <w:tcW w:w="397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4"/>
              </w:rPr>
            </w:pPr>
            <w:r>
              <w:rPr>
                <w:rFonts w:cs="Arial" w:ascii="Arial" w:hAnsi="Arial"/>
                <w:sz w:val="24"/>
              </w:rPr>
              <w:t>Enron India GDR Holding Ltd.</w:t>
            </w:r>
          </w:p>
        </w:tc>
        <w:tc>
          <w:tcPr>
            <w:tcW w:w="207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4"/>
              </w:rPr>
            </w:pPr>
            <w:r>
              <w:rPr>
                <w:rFonts w:cs="Arial" w:ascii="Arial" w:hAnsi="Arial"/>
                <w:sz w:val="24"/>
              </w:rPr>
              <w:t>common stock</w:t>
            </w:r>
          </w:p>
        </w:tc>
        <w:tc>
          <w:tcPr>
            <w:tcW w:w="153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4"/>
              </w:rPr>
            </w:pPr>
            <w:r>
              <w:rPr>
                <w:rFonts w:cs="Arial" w:ascii="Arial" w:hAnsi="Arial"/>
                <w:sz w:val="24"/>
              </w:rPr>
              <w:t>10,000</w:t>
            </w:r>
          </w:p>
        </w:tc>
        <w:tc>
          <w:tcPr>
            <w:tcW w:w="171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4"/>
              </w:rPr>
            </w:pPr>
            <w:r>
              <w:rPr>
                <w:rFonts w:cs="Arial" w:ascii="Arial" w:hAnsi="Arial"/>
                <w:sz w:val="24"/>
              </w:rPr>
              <w:t>1,000</w:t>
            </w:r>
          </w:p>
        </w:tc>
        <w:tc>
          <w:tcPr>
            <w:tcW w:w="36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4"/>
              </w:rPr>
            </w:pPr>
            <w:r>
              <w:rPr>
                <w:rFonts w:cs="Arial" w:ascii="Arial" w:hAnsi="Arial"/>
                <w:sz w:val="24"/>
              </w:rPr>
              <w:t>1,000</w:t>
            </w:r>
          </w:p>
        </w:tc>
      </w:tr>
      <w:tr>
        <w:trPr/>
        <w:tc>
          <w:tcPr>
            <w:tcW w:w="397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4"/>
              </w:rPr>
            </w:pPr>
            <w:r>
              <w:rPr>
                <w:rFonts w:cs="Arial" w:ascii="Arial" w:hAnsi="Arial"/>
                <w:sz w:val="24"/>
              </w:rPr>
              <w:t>EOGI China Company</w:t>
            </w:r>
          </w:p>
        </w:tc>
        <w:tc>
          <w:tcPr>
            <w:tcW w:w="207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4"/>
              </w:rPr>
            </w:pPr>
            <w:r>
              <w:rPr>
                <w:rFonts w:cs="Arial" w:ascii="Arial" w:hAnsi="Arial"/>
                <w:sz w:val="24"/>
              </w:rPr>
              <w:t>common stock</w:t>
            </w:r>
          </w:p>
        </w:tc>
        <w:tc>
          <w:tcPr>
            <w:tcW w:w="153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4"/>
              </w:rPr>
            </w:pPr>
            <w:r>
              <w:rPr>
                <w:rFonts w:cs="Arial" w:ascii="Arial" w:hAnsi="Arial"/>
                <w:sz w:val="24"/>
              </w:rPr>
              <w:t>50,000</w:t>
            </w:r>
          </w:p>
        </w:tc>
        <w:tc>
          <w:tcPr>
            <w:tcW w:w="171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4"/>
              </w:rPr>
            </w:pPr>
            <w:r>
              <w:rPr>
                <w:rFonts w:cs="Arial" w:ascii="Arial" w:hAnsi="Arial"/>
                <w:sz w:val="24"/>
              </w:rPr>
              <w:t>1,000</w:t>
            </w:r>
          </w:p>
        </w:tc>
        <w:tc>
          <w:tcPr>
            <w:tcW w:w="36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4"/>
              </w:rPr>
            </w:pPr>
            <w:r>
              <w:rPr>
                <w:rFonts w:cs="Arial" w:ascii="Arial" w:hAnsi="Arial"/>
                <w:sz w:val="24"/>
              </w:rPr>
              <w:t>1,000</w:t>
            </w:r>
          </w:p>
        </w:tc>
      </w:tr>
      <w:tr>
        <w:trPr/>
        <w:tc>
          <w:tcPr>
            <w:tcW w:w="397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4"/>
              </w:rPr>
            </w:pPr>
            <w:r>
              <w:rPr>
                <w:rFonts w:cs="Arial" w:ascii="Arial" w:hAnsi="Arial"/>
                <w:sz w:val="24"/>
              </w:rPr>
              <w:t>Enron Oil &amp; Gas China Ltd.</w:t>
            </w:r>
          </w:p>
        </w:tc>
        <w:tc>
          <w:tcPr>
            <w:tcW w:w="207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4"/>
              </w:rPr>
            </w:pPr>
            <w:r>
              <w:rPr>
                <w:rFonts w:cs="Arial" w:ascii="Arial" w:hAnsi="Arial"/>
                <w:sz w:val="24"/>
              </w:rPr>
              <w:t>common stock</w:t>
            </w:r>
          </w:p>
        </w:tc>
        <w:tc>
          <w:tcPr>
            <w:tcW w:w="153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4"/>
              </w:rPr>
            </w:pPr>
            <w:r>
              <w:rPr>
                <w:rFonts w:cs="Arial" w:ascii="Arial" w:hAnsi="Arial"/>
                <w:sz w:val="24"/>
              </w:rPr>
              <w:t>50,000</w:t>
            </w:r>
          </w:p>
        </w:tc>
        <w:tc>
          <w:tcPr>
            <w:tcW w:w="171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4"/>
              </w:rPr>
            </w:pPr>
            <w:r>
              <w:rPr>
                <w:rFonts w:cs="Arial" w:ascii="Arial" w:hAnsi="Arial"/>
                <w:sz w:val="24"/>
              </w:rPr>
              <w:t>1,000</w:t>
            </w:r>
          </w:p>
        </w:tc>
        <w:tc>
          <w:tcPr>
            <w:tcW w:w="36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4"/>
              </w:rPr>
            </w:pPr>
            <w:r>
              <w:rPr>
                <w:rFonts w:cs="Arial" w:ascii="Arial" w:hAnsi="Arial"/>
                <w:sz w:val="24"/>
              </w:rPr>
              <w:t>1,000</w:t>
            </w:r>
          </w:p>
        </w:tc>
      </w:tr>
      <w:tr>
        <w:trPr/>
        <w:tc>
          <w:tcPr>
            <w:tcW w:w="397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4"/>
              </w:rPr>
            </w:pPr>
            <w:r>
              <w:rPr>
                <w:rFonts w:cs="Arial" w:ascii="Arial" w:hAnsi="Arial"/>
                <w:sz w:val="24"/>
              </w:rPr>
              <w:t>EOGI – China, Inc.</w:t>
            </w:r>
          </w:p>
        </w:tc>
        <w:tc>
          <w:tcPr>
            <w:tcW w:w="207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4"/>
              </w:rPr>
            </w:pPr>
            <w:r>
              <w:rPr>
                <w:rFonts w:cs="Arial" w:ascii="Arial" w:hAnsi="Arial"/>
                <w:sz w:val="24"/>
              </w:rPr>
              <w:t>common stock</w:t>
            </w:r>
          </w:p>
        </w:tc>
        <w:tc>
          <w:tcPr>
            <w:tcW w:w="153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4"/>
              </w:rPr>
            </w:pPr>
            <w:r>
              <w:rPr>
                <w:rFonts w:cs="Arial" w:ascii="Arial" w:hAnsi="Arial"/>
                <w:sz w:val="24"/>
              </w:rPr>
              <w:t>10,000</w:t>
            </w:r>
          </w:p>
        </w:tc>
        <w:tc>
          <w:tcPr>
            <w:tcW w:w="171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4"/>
              </w:rPr>
            </w:pPr>
            <w:r>
              <w:rPr>
                <w:rFonts w:cs="Arial" w:ascii="Arial" w:hAnsi="Arial"/>
                <w:sz w:val="24"/>
              </w:rPr>
              <w:t>1,000</w:t>
            </w:r>
          </w:p>
        </w:tc>
        <w:tc>
          <w:tcPr>
            <w:tcW w:w="36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4"/>
              </w:rPr>
            </w:pPr>
            <w:r>
              <w:rPr>
                <w:rFonts w:cs="Arial" w:ascii="Arial" w:hAnsi="Arial"/>
                <w:sz w:val="24"/>
              </w:rPr>
              <w:t>1,000</w:t>
            </w:r>
          </w:p>
        </w:tc>
      </w:tr>
      <w:tr>
        <w:trPr/>
        <w:tc>
          <w:tcPr>
            <w:tcW w:w="397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4"/>
              </w:rPr>
            </w:pPr>
            <w:r>
              <w:rPr>
                <w:rFonts w:cs="Arial" w:ascii="Arial" w:hAnsi="Arial"/>
                <w:sz w:val="24"/>
              </w:rPr>
              <w:t>Enron Oil &amp; Gas China International Ltd.</w:t>
            </w:r>
          </w:p>
        </w:tc>
        <w:tc>
          <w:tcPr>
            <w:tcW w:w="207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4"/>
              </w:rPr>
            </w:pPr>
            <w:r>
              <w:rPr>
                <w:rFonts w:cs="Arial" w:ascii="Arial" w:hAnsi="Arial"/>
                <w:sz w:val="24"/>
              </w:rPr>
              <w:t>common stock</w:t>
            </w:r>
          </w:p>
        </w:tc>
        <w:tc>
          <w:tcPr>
            <w:tcW w:w="153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4"/>
              </w:rPr>
            </w:pPr>
            <w:r>
              <w:rPr>
                <w:rFonts w:cs="Arial" w:ascii="Arial" w:hAnsi="Arial"/>
                <w:sz w:val="24"/>
              </w:rPr>
              <w:t>50,000</w:t>
            </w:r>
          </w:p>
        </w:tc>
        <w:tc>
          <w:tcPr>
            <w:tcW w:w="171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4"/>
              </w:rPr>
            </w:pPr>
            <w:r>
              <w:rPr>
                <w:rFonts w:cs="Arial" w:ascii="Arial" w:hAnsi="Arial"/>
                <w:sz w:val="24"/>
              </w:rPr>
              <w:t>1,000</w:t>
            </w:r>
          </w:p>
        </w:tc>
        <w:tc>
          <w:tcPr>
            <w:tcW w:w="36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4"/>
              </w:rPr>
            </w:pPr>
            <w:r>
              <w:rPr>
                <w:rFonts w:cs="Arial" w:ascii="Arial" w:hAnsi="Arial"/>
                <w:sz w:val="24"/>
              </w:rPr>
              <w:t>1,000</w:t>
            </w:r>
          </w:p>
        </w:tc>
      </w:tr>
      <w:tr>
        <w:trPr/>
        <w:tc>
          <w:tcPr>
            <w:tcW w:w="397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4"/>
              </w:rPr>
            </w:pPr>
            <w:r>
              <w:rPr>
                <w:rFonts w:cs="Arial" w:ascii="Arial" w:hAnsi="Arial"/>
                <w:sz w:val="24"/>
              </w:rPr>
              <w:t>EGEP Korea Ltd.</w:t>
            </w:r>
          </w:p>
        </w:tc>
        <w:tc>
          <w:tcPr>
            <w:tcW w:w="207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4"/>
              </w:rPr>
            </w:pPr>
            <w:r>
              <w:rPr>
                <w:rFonts w:cs="Arial" w:ascii="Arial" w:hAnsi="Arial"/>
                <w:sz w:val="24"/>
              </w:rPr>
              <w:t>common stock</w:t>
            </w:r>
          </w:p>
        </w:tc>
        <w:tc>
          <w:tcPr>
            <w:tcW w:w="153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4"/>
              </w:rPr>
            </w:pPr>
            <w:r>
              <w:rPr>
                <w:rFonts w:cs="Arial" w:ascii="Arial" w:hAnsi="Arial"/>
                <w:sz w:val="24"/>
              </w:rPr>
              <w:t>50,000</w:t>
            </w:r>
          </w:p>
        </w:tc>
        <w:tc>
          <w:tcPr>
            <w:tcW w:w="171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4"/>
              </w:rPr>
            </w:pPr>
            <w:r>
              <w:rPr>
                <w:rFonts w:cs="Arial" w:ascii="Arial" w:hAnsi="Arial"/>
                <w:sz w:val="24"/>
              </w:rPr>
              <w:t>1,000</w:t>
            </w:r>
          </w:p>
        </w:tc>
        <w:tc>
          <w:tcPr>
            <w:tcW w:w="36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4"/>
              </w:rPr>
            </w:pPr>
            <w:r>
              <w:rPr>
                <w:rFonts w:cs="Arial" w:ascii="Arial" w:hAnsi="Arial"/>
                <w:sz w:val="24"/>
              </w:rPr>
              <w:t>1,000</w:t>
            </w:r>
          </w:p>
        </w:tc>
      </w:tr>
      <w:tr>
        <w:trPr/>
        <w:tc>
          <w:tcPr>
            <w:tcW w:w="397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4"/>
              </w:rPr>
            </w:pPr>
            <w:r>
              <w:rPr>
                <w:rFonts w:cs="Arial" w:ascii="Arial" w:hAnsi="Arial"/>
                <w:sz w:val="24"/>
              </w:rPr>
              <w:t>Enron Oil &amp; Gas Korea Ltd</w:t>
            </w:r>
          </w:p>
        </w:tc>
        <w:tc>
          <w:tcPr>
            <w:tcW w:w="207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4"/>
              </w:rPr>
            </w:pPr>
            <w:r>
              <w:rPr>
                <w:rFonts w:cs="Arial" w:ascii="Arial" w:hAnsi="Arial"/>
                <w:sz w:val="24"/>
              </w:rPr>
              <w:t>common stock</w:t>
            </w:r>
          </w:p>
        </w:tc>
        <w:tc>
          <w:tcPr>
            <w:tcW w:w="153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4"/>
              </w:rPr>
            </w:pPr>
            <w:r>
              <w:rPr>
                <w:rFonts w:cs="Arial" w:ascii="Arial" w:hAnsi="Arial"/>
                <w:sz w:val="24"/>
              </w:rPr>
              <w:t>50,000</w:t>
            </w:r>
          </w:p>
        </w:tc>
        <w:tc>
          <w:tcPr>
            <w:tcW w:w="171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4"/>
              </w:rPr>
            </w:pPr>
            <w:r>
              <w:rPr>
                <w:rFonts w:cs="Arial" w:ascii="Arial" w:hAnsi="Arial"/>
                <w:sz w:val="24"/>
              </w:rPr>
              <w:t>1,000</w:t>
            </w:r>
          </w:p>
        </w:tc>
        <w:tc>
          <w:tcPr>
            <w:tcW w:w="36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4"/>
              </w:rPr>
            </w:pPr>
            <w:r>
              <w:rPr>
                <w:rFonts w:cs="Arial" w:ascii="Arial" w:hAnsi="Arial"/>
                <w:sz w:val="24"/>
              </w:rPr>
              <w:t>1,000</w:t>
            </w:r>
          </w:p>
        </w:tc>
      </w:tr>
      <w:tr>
        <w:trPr/>
        <w:tc>
          <w:tcPr>
            <w:tcW w:w="397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4"/>
              </w:rPr>
            </w:pPr>
            <w:r>
              <w:rPr>
                <w:rFonts w:cs="Arial" w:ascii="Arial" w:hAnsi="Arial"/>
                <w:sz w:val="24"/>
              </w:rPr>
              <w:t>DJ Oil &amp; Gas Limited Liability Company</w:t>
            </w:r>
          </w:p>
        </w:tc>
        <w:tc>
          <w:tcPr>
            <w:tcW w:w="2070" w:type="dxa"/>
            <w:tcBorders>
              <w:top w:val="single" w:sz="4" w:space="0" w:color="000000"/>
              <w:start w:val="single" w:sz="4" w:space="0" w:color="000000"/>
              <w:bottom w:val="single" w:sz="4" w:space="0" w:color="000000"/>
              <w:end w:val="single" w:sz="4" w:space="0" w:color="000000"/>
            </w:tcBorders>
          </w:tcPr>
          <w:p>
            <w:pPr>
              <w:pStyle w:val="Heading1"/>
              <w:ind w:hanging="0" w:start="0"/>
              <w:rPr>
                <w:b w:val="false"/>
              </w:rPr>
            </w:pPr>
            <w:r>
              <w:rPr>
                <w:b w:val="false"/>
              </w:rPr>
              <w:t>N/A</w:t>
            </w:r>
          </w:p>
        </w:tc>
        <w:tc>
          <w:tcPr>
            <w:tcW w:w="153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4"/>
              </w:rPr>
            </w:pPr>
            <w:r>
              <w:rPr>
                <w:rFonts w:cs="Arial" w:ascii="Arial" w:hAnsi="Arial"/>
                <w:sz w:val="24"/>
              </w:rPr>
              <w:t>N/A</w:t>
            </w:r>
          </w:p>
        </w:tc>
        <w:tc>
          <w:tcPr>
            <w:tcW w:w="171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4"/>
              </w:rPr>
            </w:pPr>
            <w:r>
              <w:rPr>
                <w:rFonts w:cs="Arial" w:ascii="Arial" w:hAnsi="Arial"/>
                <w:sz w:val="24"/>
              </w:rPr>
              <w:t>sole member</w:t>
            </w:r>
          </w:p>
        </w:tc>
        <w:tc>
          <w:tcPr>
            <w:tcW w:w="36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4"/>
              </w:rPr>
            </w:pPr>
            <w:r>
              <w:rPr>
                <w:rFonts w:cs="Arial" w:ascii="Arial" w:hAnsi="Arial"/>
                <w:sz w:val="24"/>
              </w:rPr>
              <w:t>sole member</w:t>
            </w:r>
          </w:p>
        </w:tc>
      </w:tr>
      <w:tr>
        <w:trPr/>
        <w:tc>
          <w:tcPr>
            <w:tcW w:w="397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4"/>
              </w:rPr>
            </w:pPr>
            <w:r>
              <w:rPr>
                <w:rFonts w:cs="Arial" w:ascii="Arial" w:hAnsi="Arial"/>
                <w:sz w:val="24"/>
              </w:rPr>
              <w:t>Enron International Mauritius Ltd.</w:t>
            </w:r>
            <w:r>
              <w:rPr>
                <w:rStyle w:val="FootnoteCharacters"/>
                <w:rStyle w:val="FootnoteReference"/>
                <w:rFonts w:cs="Arial" w:ascii="Arial" w:hAnsi="Arial"/>
                <w:sz w:val="24"/>
              </w:rPr>
              <w:footnoteReference w:customMarkFollows="1" w:id="3"/>
              <w:t>*</w:t>
            </w:r>
          </w:p>
        </w:tc>
        <w:tc>
          <w:tcPr>
            <w:tcW w:w="207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4"/>
              </w:rPr>
            </w:pPr>
            <w:r>
              <w:rPr>
                <w:rFonts w:cs="Arial" w:ascii="Arial" w:hAnsi="Arial"/>
                <w:sz w:val="24"/>
              </w:rPr>
              <w:t>common stock</w:t>
            </w:r>
          </w:p>
        </w:tc>
        <w:tc>
          <w:tcPr>
            <w:tcW w:w="153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4"/>
              </w:rPr>
            </w:pPr>
            <w:r>
              <w:rPr>
                <w:rFonts w:cs="Arial" w:ascii="Arial" w:hAnsi="Arial"/>
                <w:sz w:val="24"/>
              </w:rPr>
              <w:t>50,000</w:t>
            </w:r>
          </w:p>
        </w:tc>
        <w:tc>
          <w:tcPr>
            <w:tcW w:w="171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4"/>
              </w:rPr>
            </w:pPr>
            <w:r>
              <w:rPr>
                <w:rFonts w:cs="Arial" w:ascii="Arial" w:hAnsi="Arial"/>
                <w:sz w:val="24"/>
              </w:rPr>
              <w:t>1,000</w:t>
            </w:r>
          </w:p>
        </w:tc>
        <w:tc>
          <w:tcPr>
            <w:tcW w:w="36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4"/>
              </w:rPr>
            </w:pPr>
            <w:r>
              <w:rPr>
                <w:rFonts w:cs="Arial" w:ascii="Arial" w:hAnsi="Arial"/>
                <w:sz w:val="24"/>
              </w:rPr>
              <w:t>1,000</w:t>
            </w:r>
          </w:p>
        </w:tc>
      </w:tr>
    </w:tbl>
    <w:p>
      <w:pPr>
        <w:pStyle w:val="Normal"/>
        <w:rPr/>
      </w:pPr>
      <w:r>
        <w:rPr/>
      </w:r>
    </w:p>
    <w:p>
      <w:pPr>
        <w:sectPr>
          <w:headerReference w:type="default" r:id="rId4"/>
          <w:headerReference w:type="first" r:id="rId5"/>
          <w:footerReference w:type="default" r:id="rId6"/>
          <w:footerReference w:type="first" r:id="rId7"/>
          <w:footnotePr>
            <w:numFmt w:val="decimal"/>
          </w:footnotePr>
          <w:type w:val="nextPage"/>
          <w:pgSz w:orient="landscape" w:w="15840" w:h="12240"/>
          <w:pgMar w:left="1440" w:right="1440" w:gutter="0" w:header="720" w:top="1440" w:footer="720" w:bottom="1440"/>
          <w:pgNumType w:fmt="decimal"/>
          <w:formProt w:val="false"/>
          <w:textDirection w:val="lrTb"/>
          <w:docGrid w:type="default" w:linePitch="360" w:charSpace="0"/>
        </w:sectPr>
        <w:pStyle w:val="Normal"/>
        <w:rPr/>
      </w:pPr>
      <w:r>
        <w:rPr/>
      </w:r>
    </w:p>
    <w:p>
      <w:pPr>
        <w:pStyle w:val="Heading"/>
        <w:rPr/>
      </w:pPr>
      <w:r>
        <w:rPr/>
        <w:t>SCHEDULE 5.06(B)</w:t>
      </w:r>
    </w:p>
    <w:p>
      <w:pPr>
        <w:pStyle w:val="Heading"/>
        <w:rPr/>
      </w:pPr>
      <w:r>
        <w:rPr/>
        <w:t>EGEP GROUP OF COMPANIES</w:t>
      </w:r>
    </w:p>
    <w:p>
      <w:pPr>
        <w:pStyle w:val="Heading"/>
        <w:rPr/>
      </w:pPr>
      <w:r>
        <w:rPr/>
      </w:r>
    </w:p>
    <w:p>
      <w:pPr>
        <w:pStyle w:val="Heading"/>
        <w:rPr/>
      </w:pPr>
      <w:r>
        <w:rPr/>
        <w:t>BUSINESSES UNDER DEVELOPMENT</w:t>
      </w:r>
    </w:p>
    <w:p>
      <w:pPr>
        <w:pStyle w:val="Heading"/>
        <w:rPr/>
      </w:pPr>
      <w:r>
        <w:rPr/>
      </w:r>
    </w:p>
    <w:p>
      <w:pPr>
        <w:pStyle w:val="Heading"/>
        <w:rPr/>
      </w:pPr>
      <w:r>
        <w:rPr/>
        <w:t>INDIA:  BLOCK CB-OS/1</w:t>
      </w:r>
    </w:p>
    <w:p>
      <w:pPr>
        <w:pStyle w:val="Heading"/>
        <w:jc w:val="end"/>
        <w:rPr>
          <w:b w:val="false"/>
          <w:i/>
          <w:i/>
        </w:rPr>
      </w:pPr>
      <w:r>
        <w:rPr>
          <w:b w:val="false"/>
          <w:i/>
        </w:rPr>
      </w:r>
    </w:p>
    <w:p>
      <w:pPr>
        <w:pStyle w:val="Heading"/>
        <w:rPr/>
      </w:pPr>
      <w:r>
        <w:rPr/>
        <w:t>Permits, Licenses and Authorizations Obtained</w:t>
      </w:r>
    </w:p>
    <w:p>
      <w:pPr>
        <w:pStyle w:val="Normal"/>
        <w:jc w:val="center"/>
        <w:rPr>
          <w:rFonts w:ascii="Arial" w:hAnsi="Arial" w:cs="Arial"/>
          <w:b/>
          <w:color w:val="000000"/>
          <w:sz w:val="24"/>
          <w:lang w:eastAsia="en-US"/>
        </w:rPr>
      </w:pPr>
      <w:r>
        <w:rPr>
          <w:rFonts w:cs="Arial" w:ascii="Arial" w:hAnsi="Arial"/>
          <w:b/>
          <w:color w:val="000000"/>
          <w:sz w:val="24"/>
          <w:lang w:eastAsia="en-US"/>
        </w:rPr>
      </w:r>
    </w:p>
    <w:p>
      <w:pPr>
        <w:pStyle w:val="Normal"/>
        <w:numPr>
          <w:ilvl w:val="0"/>
          <w:numId w:val="2"/>
        </w:numPr>
        <w:jc w:val="both"/>
        <w:rPr>
          <w:rFonts w:ascii="Arial" w:hAnsi="Arial" w:cs="Arial"/>
          <w:color w:val="000000"/>
          <w:sz w:val="22"/>
          <w:lang w:eastAsia="en-US"/>
        </w:rPr>
      </w:pPr>
      <w:r>
        <w:rPr>
          <w:rFonts w:cs="Arial" w:ascii="Arial" w:hAnsi="Arial"/>
          <w:b/>
          <w:color w:val="000000"/>
          <w:sz w:val="22"/>
          <w:lang w:eastAsia="en-US"/>
        </w:rPr>
        <w:t xml:space="preserve">Letter of Authority in Terms of Section 6 of the Territorial Waters, Continental Shelf Exclusive Economic Zone and Other Maritime Zones Act, 1976 (No. 80 of 1976) </w:t>
      </w:r>
      <w:r>
        <w:rPr>
          <w:rFonts w:cs="Arial" w:ascii="Arial" w:hAnsi="Arial"/>
          <w:color w:val="000000"/>
          <w:sz w:val="22"/>
          <w:lang w:eastAsia="en-US"/>
        </w:rPr>
        <w:t>dated November 18, 1996</w:t>
      </w:r>
      <w:r>
        <w:rPr>
          <w:rFonts w:cs="Arial" w:ascii="Arial" w:hAnsi="Arial"/>
          <w:b/>
          <w:color w:val="000000"/>
          <w:sz w:val="22"/>
          <w:lang w:eastAsia="en-US"/>
        </w:rPr>
        <w:t xml:space="preserve"> </w:t>
      </w:r>
      <w:r>
        <w:rPr>
          <w:rFonts w:cs="Arial" w:ascii="Arial" w:hAnsi="Arial"/>
          <w:color w:val="000000"/>
          <w:sz w:val="22"/>
          <w:lang w:eastAsia="en-US"/>
        </w:rPr>
        <w:t>issued by the Ministry of Petroleum and Natural Gas in favor of Oil &amp; Natural Gas Corporation Limited regarding Block CB-OS/1.</w:t>
      </w:r>
    </w:p>
    <w:p>
      <w:pPr>
        <w:pStyle w:val="Normal"/>
        <w:tabs>
          <w:tab w:val="left" w:pos="720" w:leader="none"/>
        </w:tabs>
        <w:ind w:hanging="720" w:start="720" w:end="0"/>
        <w:jc w:val="both"/>
        <w:rPr>
          <w:rFonts w:ascii="Arial" w:hAnsi="Arial" w:cs="Arial"/>
          <w:color w:val="000000"/>
          <w:sz w:val="22"/>
          <w:lang w:eastAsia="en-US"/>
        </w:rPr>
      </w:pPr>
      <w:r>
        <w:rPr>
          <w:rFonts w:cs="Arial" w:ascii="Arial" w:hAnsi="Arial"/>
          <w:color w:val="000000"/>
          <w:sz w:val="22"/>
          <w:lang w:eastAsia="en-US"/>
        </w:rPr>
      </w:r>
    </w:p>
    <w:p>
      <w:pPr>
        <w:pStyle w:val="Normal"/>
        <w:numPr>
          <w:ilvl w:val="0"/>
          <w:numId w:val="2"/>
        </w:numPr>
        <w:jc w:val="both"/>
        <w:rPr>
          <w:rFonts w:ascii="Arial" w:hAnsi="Arial" w:cs="Arial"/>
          <w:color w:val="000000"/>
          <w:sz w:val="22"/>
          <w:lang w:eastAsia="en-US"/>
        </w:rPr>
      </w:pPr>
      <w:r>
        <w:rPr>
          <w:rFonts w:cs="Arial" w:ascii="Arial" w:hAnsi="Arial"/>
          <w:b/>
          <w:color w:val="000000"/>
          <w:sz w:val="22"/>
          <w:lang w:eastAsia="en-US"/>
        </w:rPr>
        <w:t>No Objection Certificate</w:t>
      </w:r>
      <w:r>
        <w:rPr>
          <w:rFonts w:cs="Arial" w:ascii="Arial" w:hAnsi="Arial"/>
          <w:color w:val="000000"/>
          <w:sz w:val="22"/>
          <w:lang w:eastAsia="en-US"/>
        </w:rPr>
        <w:t>, No. PC/NOC/BRCH-1761/35516, dated December 26, 1997 issued by Gujarat Pollution Control Board for drilling of exploration and appraisal well, subject to a Coastal Regulation Zone ("CRZ") No Objection Certificate.</w:t>
      </w:r>
    </w:p>
    <w:p>
      <w:pPr>
        <w:pStyle w:val="Normal"/>
        <w:tabs>
          <w:tab w:val="left" w:pos="720" w:leader="none"/>
        </w:tabs>
        <w:ind w:hanging="720" w:start="720" w:end="0"/>
        <w:jc w:val="both"/>
        <w:rPr>
          <w:rFonts w:ascii="Arial" w:hAnsi="Arial" w:cs="Arial"/>
          <w:color w:val="000000"/>
          <w:sz w:val="22"/>
          <w:lang w:eastAsia="en-US"/>
        </w:rPr>
      </w:pPr>
      <w:r>
        <w:rPr>
          <w:rFonts w:cs="Arial" w:ascii="Arial" w:hAnsi="Arial"/>
          <w:color w:val="000000"/>
          <w:sz w:val="22"/>
          <w:lang w:eastAsia="en-US"/>
        </w:rPr>
      </w:r>
    </w:p>
    <w:p>
      <w:pPr>
        <w:pStyle w:val="Normal"/>
        <w:numPr>
          <w:ilvl w:val="0"/>
          <w:numId w:val="2"/>
        </w:numPr>
        <w:jc w:val="both"/>
        <w:rPr>
          <w:rFonts w:ascii="Arial" w:hAnsi="Arial" w:cs="Arial"/>
          <w:color w:val="000000"/>
          <w:sz w:val="22"/>
          <w:lang w:eastAsia="en-US"/>
        </w:rPr>
      </w:pPr>
      <w:r>
        <w:rPr>
          <w:rFonts w:cs="Arial" w:ascii="Arial" w:hAnsi="Arial"/>
          <w:b/>
          <w:color w:val="000000"/>
          <w:sz w:val="22"/>
          <w:lang w:eastAsia="en-US"/>
        </w:rPr>
        <w:t>No Objection Certificate</w:t>
      </w:r>
      <w:r>
        <w:rPr>
          <w:rFonts w:cs="Arial" w:ascii="Arial" w:hAnsi="Arial"/>
          <w:color w:val="000000"/>
          <w:sz w:val="22"/>
          <w:lang w:eastAsia="en-US"/>
        </w:rPr>
        <w:t>, No. SD-12/MISC (53)/97, dated December 31, 1997 issued by the Directorate General of Shipping for drilling in the Gulf of Khambat.</w:t>
      </w:r>
    </w:p>
    <w:p>
      <w:pPr>
        <w:pStyle w:val="Normal"/>
        <w:tabs>
          <w:tab w:val="left" w:pos="720" w:leader="none"/>
        </w:tabs>
        <w:ind w:hanging="720" w:start="720" w:end="0"/>
        <w:jc w:val="both"/>
        <w:rPr>
          <w:rFonts w:ascii="Arial" w:hAnsi="Arial" w:cs="Arial"/>
          <w:color w:val="000000"/>
          <w:sz w:val="22"/>
          <w:lang w:eastAsia="en-US"/>
        </w:rPr>
      </w:pPr>
      <w:r>
        <w:rPr>
          <w:rFonts w:cs="Arial" w:ascii="Arial" w:hAnsi="Arial"/>
          <w:color w:val="000000"/>
          <w:sz w:val="22"/>
          <w:lang w:eastAsia="en-US"/>
        </w:rPr>
      </w:r>
    </w:p>
    <w:p>
      <w:pPr>
        <w:pStyle w:val="Normal"/>
        <w:numPr>
          <w:ilvl w:val="0"/>
          <w:numId w:val="2"/>
        </w:numPr>
        <w:jc w:val="both"/>
        <w:rPr>
          <w:rFonts w:ascii="Arial" w:hAnsi="Arial" w:cs="Arial"/>
          <w:color w:val="000000"/>
          <w:sz w:val="22"/>
          <w:lang w:eastAsia="en-US"/>
        </w:rPr>
      </w:pPr>
      <w:r>
        <w:rPr>
          <w:rFonts w:cs="Arial" w:ascii="Arial" w:hAnsi="Arial"/>
          <w:b/>
          <w:color w:val="000000"/>
          <w:sz w:val="22"/>
          <w:lang w:eastAsia="en-US"/>
        </w:rPr>
        <w:t>No Objection Certificate</w:t>
      </w:r>
      <w:r>
        <w:rPr>
          <w:rFonts w:cs="Arial" w:ascii="Arial" w:hAnsi="Arial"/>
          <w:color w:val="000000"/>
          <w:sz w:val="22"/>
          <w:lang w:eastAsia="en-US"/>
        </w:rPr>
        <w:t>, No. GMB/N/FVT/171 (10)/10361, dated February 13, 1998 issued by the Gujarat Maritime Board to carry out drilling operations in GMB waters.</w:t>
      </w:r>
    </w:p>
    <w:p>
      <w:pPr>
        <w:pStyle w:val="Normal"/>
        <w:tabs>
          <w:tab w:val="left" w:pos="720" w:leader="none"/>
        </w:tabs>
        <w:ind w:hanging="720" w:start="720" w:end="0"/>
        <w:jc w:val="both"/>
        <w:rPr>
          <w:rFonts w:ascii="Arial" w:hAnsi="Arial" w:cs="Arial"/>
          <w:color w:val="000000"/>
          <w:sz w:val="22"/>
          <w:lang w:eastAsia="en-US"/>
        </w:rPr>
      </w:pPr>
      <w:r>
        <w:rPr>
          <w:rFonts w:cs="Arial" w:ascii="Arial" w:hAnsi="Arial"/>
          <w:color w:val="000000"/>
          <w:sz w:val="22"/>
          <w:lang w:eastAsia="en-US"/>
        </w:rPr>
      </w:r>
    </w:p>
    <w:p>
      <w:pPr>
        <w:pStyle w:val="Normal"/>
        <w:numPr>
          <w:ilvl w:val="0"/>
          <w:numId w:val="2"/>
        </w:numPr>
        <w:jc w:val="both"/>
        <w:rPr>
          <w:rFonts w:ascii="Arial" w:hAnsi="Arial" w:cs="Arial"/>
          <w:color w:val="000000"/>
          <w:sz w:val="22"/>
          <w:lang w:eastAsia="en-US"/>
        </w:rPr>
      </w:pPr>
      <w:r>
        <w:rPr>
          <w:rFonts w:cs="Arial" w:ascii="Arial" w:hAnsi="Arial"/>
          <w:b/>
          <w:color w:val="000000"/>
          <w:sz w:val="22"/>
          <w:lang w:eastAsia="en-US"/>
        </w:rPr>
        <w:t>Environmental Clearance</w:t>
      </w:r>
      <w:r>
        <w:rPr>
          <w:rFonts w:cs="Arial" w:ascii="Arial" w:hAnsi="Arial"/>
          <w:color w:val="000000"/>
          <w:sz w:val="22"/>
          <w:lang w:eastAsia="en-US"/>
        </w:rPr>
        <w:t xml:space="preserve"> dated April 20, 1998 issued by Ministry of Environment and Forests for the CB-OS/1 Appraisal Drilling Project provided that intertidal activity must be approved in accordance with the CRZ Notification.</w:t>
      </w:r>
    </w:p>
    <w:p>
      <w:pPr>
        <w:pStyle w:val="Normal"/>
        <w:tabs>
          <w:tab w:val="left" w:pos="720" w:leader="none"/>
        </w:tabs>
        <w:ind w:hanging="720" w:start="720" w:end="0"/>
        <w:jc w:val="both"/>
        <w:rPr>
          <w:rFonts w:ascii="Arial" w:hAnsi="Arial" w:cs="Arial"/>
          <w:color w:val="000000"/>
          <w:sz w:val="22"/>
          <w:lang w:eastAsia="en-US"/>
        </w:rPr>
      </w:pPr>
      <w:r>
        <w:rPr>
          <w:rFonts w:cs="Arial" w:ascii="Arial" w:hAnsi="Arial"/>
          <w:color w:val="000000"/>
          <w:sz w:val="22"/>
          <w:lang w:eastAsia="en-US"/>
        </w:rPr>
      </w:r>
    </w:p>
    <w:p>
      <w:pPr>
        <w:pStyle w:val="Normal"/>
        <w:numPr>
          <w:ilvl w:val="0"/>
          <w:numId w:val="2"/>
        </w:numPr>
        <w:jc w:val="both"/>
        <w:rPr>
          <w:rFonts w:ascii="Arial" w:hAnsi="Arial" w:cs="Arial"/>
          <w:color w:val="000000"/>
          <w:sz w:val="22"/>
          <w:lang w:eastAsia="en-US"/>
        </w:rPr>
      </w:pPr>
      <w:r>
        <w:rPr>
          <w:rFonts w:cs="Arial" w:ascii="Arial" w:hAnsi="Arial"/>
          <w:b/>
          <w:color w:val="000000"/>
          <w:sz w:val="22"/>
          <w:lang w:eastAsia="en-US"/>
        </w:rPr>
        <w:t xml:space="preserve">Central Sales Tax </w:t>
      </w:r>
      <w:r>
        <w:rPr>
          <w:rFonts w:cs="Arial" w:ascii="Arial" w:hAnsi="Arial"/>
          <w:color w:val="000000"/>
          <w:sz w:val="22"/>
          <w:lang w:eastAsia="en-US"/>
        </w:rPr>
        <w:t>Registration issued by the State of Gujarat to Enron Oil &amp; Gas India Ltd. for office in Baroda.</w:t>
      </w:r>
    </w:p>
    <w:p>
      <w:pPr>
        <w:pStyle w:val="Normal"/>
        <w:tabs>
          <w:tab w:val="left" w:pos="720" w:leader="none"/>
        </w:tabs>
        <w:ind w:hanging="720" w:start="720" w:end="0"/>
        <w:jc w:val="both"/>
        <w:rPr>
          <w:rFonts w:ascii="Arial" w:hAnsi="Arial" w:cs="Arial"/>
          <w:b/>
          <w:color w:val="000000"/>
          <w:sz w:val="22"/>
          <w:lang w:eastAsia="en-US"/>
        </w:rPr>
      </w:pPr>
      <w:r>
        <w:rPr>
          <w:rFonts w:cs="Arial" w:ascii="Arial" w:hAnsi="Arial"/>
          <w:b/>
          <w:color w:val="000000"/>
          <w:sz w:val="22"/>
          <w:lang w:eastAsia="en-US"/>
        </w:rPr>
      </w:r>
    </w:p>
    <w:p>
      <w:pPr>
        <w:pStyle w:val="Normal"/>
        <w:numPr>
          <w:ilvl w:val="0"/>
          <w:numId w:val="2"/>
        </w:numPr>
        <w:jc w:val="both"/>
        <w:rPr>
          <w:rFonts w:ascii="Arial" w:hAnsi="Arial" w:cs="Arial"/>
          <w:color w:val="000000"/>
          <w:sz w:val="22"/>
          <w:lang w:eastAsia="en-US"/>
        </w:rPr>
      </w:pPr>
      <w:r>
        <w:rPr>
          <w:rFonts w:cs="Arial" w:ascii="Arial" w:hAnsi="Arial"/>
          <w:b/>
          <w:color w:val="000000"/>
          <w:sz w:val="22"/>
          <w:lang w:eastAsia="en-US"/>
        </w:rPr>
        <w:t xml:space="preserve">Permission under the Shops and Establishments </w:t>
      </w:r>
      <w:r>
        <w:rPr>
          <w:rFonts w:cs="Arial" w:ascii="Arial" w:hAnsi="Arial"/>
          <w:color w:val="000000"/>
          <w:sz w:val="22"/>
          <w:lang w:eastAsia="en-US"/>
        </w:rPr>
        <w:t>Act issued by the State of Gujarat to Enron Oil &amp; Gas India Ltd. for office in Baroda.</w:t>
      </w:r>
    </w:p>
    <w:p>
      <w:pPr>
        <w:pStyle w:val="Normal"/>
        <w:tabs>
          <w:tab w:val="left" w:pos="720" w:leader="none"/>
        </w:tabs>
        <w:ind w:hanging="720" w:start="720" w:end="0"/>
        <w:jc w:val="both"/>
        <w:rPr>
          <w:rFonts w:ascii="Arial" w:hAnsi="Arial" w:cs="Arial"/>
          <w:b/>
          <w:color w:val="000000"/>
          <w:sz w:val="22"/>
          <w:lang w:eastAsia="en-US"/>
        </w:rPr>
      </w:pPr>
      <w:r>
        <w:rPr>
          <w:rFonts w:cs="Arial" w:ascii="Arial" w:hAnsi="Arial"/>
          <w:b/>
          <w:color w:val="000000"/>
          <w:sz w:val="22"/>
          <w:lang w:eastAsia="en-US"/>
        </w:rPr>
      </w:r>
    </w:p>
    <w:p>
      <w:pPr>
        <w:pStyle w:val="Normal"/>
        <w:numPr>
          <w:ilvl w:val="0"/>
          <w:numId w:val="2"/>
        </w:numPr>
        <w:jc w:val="both"/>
        <w:rPr>
          <w:rFonts w:ascii="Arial" w:hAnsi="Arial" w:cs="Arial"/>
          <w:b/>
          <w:color w:val="000000"/>
          <w:sz w:val="22"/>
          <w:lang w:eastAsia="en-US"/>
        </w:rPr>
      </w:pPr>
      <w:r>
        <w:rPr>
          <w:rFonts w:cs="Arial" w:ascii="Arial" w:hAnsi="Arial"/>
          <w:b/>
          <w:color w:val="000000"/>
          <w:sz w:val="22"/>
          <w:lang w:eastAsia="en-US"/>
        </w:rPr>
        <w:t xml:space="preserve">Permission under Section 29(1)(a) of Foreign Exchange Regulation Act 1973 for permission to open a project office in India to execute a production sharing contract with Government of India and Oil &amp; Natural Gas Corporation Limited, </w:t>
      </w:r>
      <w:r>
        <w:rPr>
          <w:rFonts w:cs="Arial" w:ascii="Arial" w:hAnsi="Arial"/>
          <w:color w:val="000000"/>
          <w:sz w:val="22"/>
          <w:lang w:eastAsia="en-US"/>
        </w:rPr>
        <w:t>No. EC.AH.PID/805/06.04.1800/99-2000, dated January 11, 2000 issued by the Reserve Bank of India.</w:t>
      </w:r>
    </w:p>
    <w:p>
      <w:pPr>
        <w:pStyle w:val="Normal"/>
        <w:tabs>
          <w:tab w:val="left" w:pos="720" w:leader="none"/>
        </w:tabs>
        <w:ind w:hanging="720" w:start="720" w:end="0"/>
        <w:jc w:val="both"/>
        <w:rPr>
          <w:rFonts w:ascii="Arial" w:hAnsi="Arial" w:cs="Arial"/>
          <w:b/>
          <w:color w:val="000000"/>
          <w:sz w:val="22"/>
          <w:lang w:eastAsia="en-US"/>
        </w:rPr>
      </w:pPr>
      <w:r>
        <w:rPr>
          <w:rFonts w:cs="Arial" w:ascii="Arial" w:hAnsi="Arial"/>
          <w:b/>
          <w:color w:val="000000"/>
          <w:sz w:val="22"/>
          <w:lang w:eastAsia="en-US"/>
        </w:rPr>
      </w:r>
    </w:p>
    <w:p>
      <w:pPr>
        <w:pStyle w:val="Normal"/>
        <w:numPr>
          <w:ilvl w:val="0"/>
          <w:numId w:val="2"/>
        </w:numPr>
        <w:jc w:val="both"/>
        <w:rPr>
          <w:rFonts w:ascii="Arial" w:hAnsi="Arial" w:cs="Arial"/>
          <w:color w:val="000000"/>
          <w:sz w:val="22"/>
          <w:lang w:eastAsia="en-US"/>
        </w:rPr>
      </w:pPr>
      <w:r>
        <w:rPr>
          <w:rFonts w:cs="Arial" w:ascii="Arial" w:hAnsi="Arial"/>
          <w:b/>
          <w:color w:val="000000"/>
          <w:sz w:val="22"/>
          <w:lang w:eastAsia="en-US"/>
        </w:rPr>
        <w:t>No Objection Certificate</w:t>
      </w:r>
      <w:r>
        <w:rPr>
          <w:rFonts w:cs="Arial" w:ascii="Arial" w:hAnsi="Arial"/>
          <w:color w:val="000000"/>
          <w:sz w:val="22"/>
          <w:lang w:eastAsia="en-US"/>
        </w:rPr>
        <w:t xml:space="preserve"> dated January 15, 2000 issued by Gujarat State Department of Forests and Environment and forwarded to Ministry of Environment and Forests for issuance of Environmental Clearance for South and North Harinagar site.</w:t>
      </w:r>
    </w:p>
    <w:p>
      <w:pPr>
        <w:pStyle w:val="Normal"/>
        <w:tabs>
          <w:tab w:val="left" w:pos="720" w:leader="none"/>
        </w:tabs>
        <w:ind w:hanging="720" w:start="720" w:end="0"/>
        <w:rPr>
          <w:rFonts w:ascii="Arial" w:hAnsi="Arial" w:cs="Arial"/>
          <w:color w:val="000000"/>
          <w:sz w:val="22"/>
          <w:lang w:eastAsia="en-US"/>
        </w:rPr>
      </w:pPr>
      <w:r>
        <w:rPr>
          <w:rFonts w:cs="Arial" w:ascii="Arial" w:hAnsi="Arial"/>
          <w:color w:val="000000"/>
          <w:sz w:val="22"/>
          <w:lang w:eastAsia="en-US"/>
        </w:rPr>
      </w:r>
    </w:p>
    <w:p>
      <w:pPr>
        <w:pStyle w:val="Normal"/>
        <w:tabs>
          <w:tab w:val="left" w:pos="720" w:leader="none"/>
        </w:tabs>
        <w:ind w:hanging="720" w:start="720" w:end="0"/>
        <w:rPr>
          <w:rFonts w:ascii="Arial" w:hAnsi="Arial" w:cs="Arial"/>
          <w:color w:val="000000"/>
          <w:sz w:val="22"/>
          <w:lang w:eastAsia="en-US"/>
        </w:rPr>
      </w:pPr>
      <w:r>
        <w:rPr>
          <w:rFonts w:cs="Arial" w:ascii="Arial" w:hAnsi="Arial"/>
          <w:color w:val="000000"/>
          <w:sz w:val="22"/>
          <w:lang w:eastAsia="en-US"/>
        </w:rPr>
      </w:r>
    </w:p>
    <w:p>
      <w:pPr>
        <w:pStyle w:val="Normal"/>
        <w:tabs>
          <w:tab w:val="left" w:pos="720" w:leader="none"/>
        </w:tabs>
        <w:ind w:hanging="720" w:start="720" w:end="0"/>
        <w:rPr>
          <w:rFonts w:ascii="Arial" w:hAnsi="Arial" w:cs="Arial"/>
          <w:color w:val="000000"/>
          <w:sz w:val="22"/>
          <w:lang w:eastAsia="en-US"/>
        </w:rPr>
      </w:pPr>
      <w:r>
        <w:rPr>
          <w:rFonts w:cs="Arial" w:ascii="Arial" w:hAnsi="Arial"/>
          <w:color w:val="000000"/>
          <w:sz w:val="22"/>
          <w:lang w:eastAsia="en-US"/>
        </w:rPr>
      </w:r>
    </w:p>
    <w:p>
      <w:pPr>
        <w:pStyle w:val="Heading1"/>
        <w:tabs>
          <w:tab w:val="left" w:pos="720" w:leader="none"/>
        </w:tabs>
        <w:ind w:hanging="720" w:start="720" w:end="0"/>
        <w:rPr/>
      </w:pPr>
      <w:r>
        <w:rPr/>
        <w:t>Applications</w:t>
      </w:r>
    </w:p>
    <w:p>
      <w:pPr>
        <w:pStyle w:val="Normal"/>
        <w:tabs>
          <w:tab w:val="left" w:pos="720" w:leader="none"/>
        </w:tabs>
        <w:ind w:hanging="720" w:start="720" w:end="0"/>
        <w:rPr>
          <w:rFonts w:ascii="Arial" w:hAnsi="Arial" w:cs="Arial"/>
          <w:color w:val="000000"/>
          <w:sz w:val="22"/>
          <w:lang w:eastAsia="en-US"/>
        </w:rPr>
      </w:pPr>
      <w:r>
        <w:rPr>
          <w:rFonts w:cs="Arial" w:ascii="Arial" w:hAnsi="Arial"/>
          <w:color w:val="000000"/>
          <w:sz w:val="22"/>
          <w:lang w:eastAsia="en-US"/>
        </w:rPr>
      </w:r>
    </w:p>
    <w:p>
      <w:pPr>
        <w:pStyle w:val="Normal"/>
        <w:numPr>
          <w:ilvl w:val="0"/>
          <w:numId w:val="5"/>
        </w:numPr>
        <w:jc w:val="both"/>
        <w:rPr>
          <w:rFonts w:ascii="Arial" w:hAnsi="Arial" w:cs="Arial"/>
          <w:color w:val="000000"/>
          <w:sz w:val="22"/>
          <w:lang w:eastAsia="en-US"/>
        </w:rPr>
      </w:pPr>
      <w:r>
        <w:rPr>
          <w:rFonts w:cs="Arial" w:ascii="Arial" w:hAnsi="Arial"/>
          <w:b/>
          <w:color w:val="000000"/>
          <w:sz w:val="22"/>
          <w:lang w:eastAsia="en-US"/>
        </w:rPr>
        <w:t>Application for Environmental Clearance</w:t>
      </w:r>
      <w:r>
        <w:rPr>
          <w:rFonts w:cs="Arial" w:ascii="Arial" w:hAnsi="Arial"/>
          <w:color w:val="000000"/>
          <w:sz w:val="22"/>
          <w:lang w:eastAsia="en-US"/>
        </w:rPr>
        <w:t xml:space="preserve"> dated February 2, 2000 to Ministry of Environment and Forests for drilling wells in the CRZ at North and South Harinagar area.</w:t>
      </w:r>
    </w:p>
    <w:p>
      <w:pPr>
        <w:pStyle w:val="Normal"/>
        <w:tabs>
          <w:tab w:val="left" w:pos="720" w:leader="none"/>
        </w:tabs>
        <w:ind w:hanging="720" w:start="720" w:end="0"/>
        <w:jc w:val="both"/>
        <w:rPr>
          <w:rFonts w:ascii="Arial" w:hAnsi="Arial" w:cs="Arial"/>
          <w:color w:val="000000"/>
          <w:sz w:val="22"/>
          <w:lang w:eastAsia="en-US"/>
        </w:rPr>
      </w:pPr>
      <w:r>
        <w:rPr>
          <w:rFonts w:cs="Arial" w:ascii="Arial" w:hAnsi="Arial"/>
          <w:color w:val="000000"/>
          <w:sz w:val="22"/>
          <w:lang w:eastAsia="en-US"/>
        </w:rPr>
      </w:r>
    </w:p>
    <w:p>
      <w:pPr>
        <w:pStyle w:val="Normal"/>
        <w:numPr>
          <w:ilvl w:val="0"/>
          <w:numId w:val="5"/>
        </w:numPr>
        <w:jc w:val="both"/>
        <w:rPr>
          <w:rFonts w:ascii="Arial" w:hAnsi="Arial" w:cs="Arial"/>
          <w:color w:val="000000"/>
          <w:sz w:val="22"/>
        </w:rPr>
      </w:pPr>
      <w:r>
        <w:rPr>
          <w:rFonts w:cs="Arial" w:ascii="Arial" w:hAnsi="Arial"/>
          <w:b/>
          <w:color w:val="000000"/>
          <w:sz w:val="22"/>
        </w:rPr>
        <w:t>Application for No Objection Certificate</w:t>
      </w:r>
      <w:r>
        <w:rPr>
          <w:rFonts w:cs="Arial" w:ascii="Arial" w:hAnsi="Arial"/>
          <w:color w:val="000000"/>
          <w:sz w:val="22"/>
        </w:rPr>
        <w:t xml:space="preserve"> dated February 9, 2000 </w:t>
      </w:r>
      <w:r>
        <w:rPr>
          <w:rFonts w:cs="Arial" w:ascii="Arial" w:hAnsi="Arial"/>
          <w:color w:val="000000"/>
          <w:sz w:val="22"/>
          <w:lang w:eastAsia="en-US"/>
        </w:rPr>
        <w:t>to Gujarat State Department of Forests and Environment</w:t>
      </w:r>
      <w:r>
        <w:rPr>
          <w:rFonts w:cs="Arial" w:ascii="Arial" w:hAnsi="Arial"/>
          <w:color w:val="000000"/>
          <w:sz w:val="22"/>
        </w:rPr>
        <w:t xml:space="preserve"> for drilling Vagra-1 and Vagra-2 sites and construction of approach road.</w:t>
      </w:r>
    </w:p>
    <w:p>
      <w:pPr>
        <w:pStyle w:val="Normal"/>
        <w:tabs>
          <w:tab w:val="left" w:pos="720" w:leader="none"/>
        </w:tabs>
        <w:ind w:hanging="720" w:start="720" w:end="0"/>
        <w:jc w:val="both"/>
        <w:rPr>
          <w:rFonts w:ascii="Arial" w:hAnsi="Arial" w:cs="Arial"/>
          <w:color w:val="000000"/>
          <w:sz w:val="22"/>
        </w:rPr>
      </w:pPr>
      <w:r>
        <w:rPr>
          <w:rFonts w:cs="Arial" w:ascii="Arial" w:hAnsi="Arial"/>
          <w:color w:val="000000"/>
          <w:sz w:val="22"/>
        </w:rPr>
      </w:r>
    </w:p>
    <w:p>
      <w:pPr>
        <w:sectPr>
          <w:headerReference w:type="default" r:id="rId8"/>
          <w:headerReference w:type="first" r:id="rId9"/>
          <w:footerReference w:type="default" r:id="rId10"/>
          <w:footerReference w:type="first" r:id="rId11"/>
          <w:footnotePr>
            <w:numFmt w:val="decimal"/>
          </w:footnotePr>
          <w:type w:val="nextPage"/>
          <w:pgSz w:orient="landscape" w:w="15840" w:h="12240"/>
          <w:pgMar w:left="1440" w:right="1440" w:gutter="0" w:header="720" w:top="1440" w:footer="720" w:bottom="1440"/>
          <w:pgNumType w:fmt="decimal"/>
          <w:formProt w:val="false"/>
          <w:textDirection w:val="lrTb"/>
          <w:docGrid w:type="default" w:linePitch="360" w:charSpace="0"/>
        </w:sectPr>
        <w:pStyle w:val="Normal"/>
        <w:numPr>
          <w:ilvl w:val="0"/>
          <w:numId w:val="5"/>
        </w:numPr>
        <w:jc w:val="both"/>
        <w:rPr/>
      </w:pPr>
      <w:r>
        <w:rPr>
          <w:rFonts w:cs="Arial" w:ascii="Arial" w:hAnsi="Arial"/>
          <w:b/>
          <w:color w:val="000000"/>
          <w:sz w:val="22"/>
          <w:lang w:eastAsia="en-US"/>
        </w:rPr>
        <w:t>Application for No Objection Certificate</w:t>
      </w:r>
      <w:r>
        <w:rPr>
          <w:rFonts w:cs="Arial" w:ascii="Arial" w:hAnsi="Arial"/>
          <w:color w:val="000000"/>
          <w:sz w:val="22"/>
          <w:lang w:eastAsia="en-US"/>
        </w:rPr>
        <w:t xml:space="preserve"> dated April 3, 2000 to the Deputy Conservator of Forests for approach road and pipeline to Vagra-1 and Vagra-2 drill sites.</w:t>
      </w:r>
    </w:p>
    <w:p>
      <w:pPr>
        <w:pStyle w:val="Normal"/>
        <w:jc w:val="center"/>
        <w:rPr>
          <w:b/>
        </w:rPr>
      </w:pPr>
      <w:r>
        <w:rPr>
          <w:b/>
        </w:rPr>
        <w:t>SCHEDULE 5.07(B)</w:t>
      </w:r>
    </w:p>
    <w:p>
      <w:pPr>
        <w:pStyle w:val="Normal"/>
        <w:jc w:val="center"/>
        <w:rPr>
          <w:b/>
        </w:rPr>
      </w:pPr>
      <w:r>
        <w:rPr>
          <w:b/>
        </w:rPr>
        <w:t>EGEP GROUP OF COMPANIES</w:t>
      </w:r>
    </w:p>
    <w:p>
      <w:pPr>
        <w:pStyle w:val="Normal"/>
        <w:jc w:val="center"/>
        <w:rPr>
          <w:b/>
        </w:rPr>
      </w:pPr>
      <w:r>
        <w:rPr>
          <w:b/>
        </w:rPr>
        <w:t>Oil &amp; Gas Projects in India</w:t>
      </w:r>
    </w:p>
    <w:p>
      <w:pPr>
        <w:pStyle w:val="Normal"/>
        <w:jc w:val="center"/>
        <w:rPr>
          <w:i/>
          <w:i/>
        </w:rPr>
      </w:pPr>
      <w:r>
        <w:rPr>
          <w:i/>
        </w:rPr>
        <w:t>Governing Agencies and Laws</w:t>
      </w:r>
    </w:p>
    <w:p>
      <w:pPr>
        <w:pStyle w:val="Normal"/>
        <w:jc w:val="end"/>
        <w:rPr>
          <w:i/>
          <w:i/>
        </w:rPr>
      </w:pPr>
      <w:r>
        <w:rPr>
          <w:i/>
        </w:rPr>
      </w:r>
    </w:p>
    <w:p>
      <w:pPr>
        <w:pStyle w:val="Normal"/>
        <w:jc w:val="center"/>
        <w:rPr>
          <w:i/>
          <w:i/>
        </w:rPr>
      </w:pPr>
      <w:r>
        <w:rPr>
          <w:i/>
        </w:rPr>
      </w:r>
    </w:p>
    <w:tbl>
      <w:tblPr>
        <w:tblW w:w="14328" w:type="dxa"/>
        <w:jc w:val="start"/>
        <w:tblInd w:w="0" w:type="dxa"/>
        <w:tblLayout w:type="fixed"/>
        <w:tblCellMar>
          <w:top w:w="0" w:type="dxa"/>
          <w:start w:w="108" w:type="dxa"/>
          <w:bottom w:w="0" w:type="dxa"/>
          <w:end w:w="108" w:type="dxa"/>
        </w:tblCellMar>
      </w:tblPr>
      <w:tblGrid>
        <w:gridCol w:w="6498"/>
        <w:gridCol w:w="7830"/>
      </w:tblGrid>
      <w:tr>
        <w:trPr/>
        <w:tc>
          <w:tcPr>
            <w:tcW w:w="6498"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Governing Ministry, Department or Agency</w:t>
            </w:r>
          </w:p>
        </w:tc>
        <w:tc>
          <w:tcPr>
            <w:tcW w:w="783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Governing Laws and Regulations</w:t>
            </w:r>
          </w:p>
          <w:p>
            <w:pPr>
              <w:pStyle w:val="Normal"/>
              <w:jc w:val="center"/>
              <w:rPr>
                <w:b/>
              </w:rPr>
            </w:pPr>
            <w:r>
              <w:rPr>
                <w:b/>
              </w:rPr>
            </w:r>
          </w:p>
        </w:tc>
      </w:tr>
      <w:tr>
        <w:trPr/>
        <w:tc>
          <w:tcPr>
            <w:tcW w:w="6498" w:type="dxa"/>
            <w:tcBorders>
              <w:top w:val="single" w:sz="4" w:space="0" w:color="000000"/>
              <w:start w:val="single" w:sz="4" w:space="0" w:color="000000"/>
              <w:bottom w:val="single" w:sz="4" w:space="0" w:color="000000"/>
              <w:end w:val="single" w:sz="4" w:space="0" w:color="000000"/>
            </w:tcBorders>
          </w:tcPr>
          <w:p>
            <w:pPr>
              <w:pStyle w:val="Normal"/>
              <w:jc w:val="center"/>
              <w:rPr/>
            </w:pPr>
            <w:r>
              <w:rPr/>
              <w:t>Ministry of Petroleum and Natural Gas;</w:t>
            </w:r>
          </w:p>
          <w:p>
            <w:pPr>
              <w:pStyle w:val="Normal"/>
              <w:jc w:val="center"/>
              <w:rPr/>
            </w:pPr>
            <w:r>
              <w:rPr/>
              <w:t>Directorate General of Hydrocarbons</w:t>
            </w:r>
          </w:p>
        </w:tc>
        <w:tc>
          <w:tcPr>
            <w:tcW w:w="7830" w:type="dxa"/>
            <w:tcBorders>
              <w:top w:val="single" w:sz="4" w:space="0" w:color="000000"/>
              <w:start w:val="single" w:sz="4" w:space="0" w:color="000000"/>
              <w:bottom w:val="single" w:sz="4" w:space="0" w:color="000000"/>
              <w:end w:val="single" w:sz="4" w:space="0" w:color="000000"/>
            </w:tcBorders>
          </w:tcPr>
          <w:p>
            <w:pPr>
              <w:pStyle w:val="Normal"/>
              <w:jc w:val="center"/>
              <w:rPr/>
            </w:pPr>
            <w:r>
              <w:rPr/>
              <w:t>The Petroleum Act, 1934;</w:t>
            </w:r>
          </w:p>
          <w:p>
            <w:pPr>
              <w:pStyle w:val="Normal"/>
              <w:jc w:val="center"/>
              <w:rPr/>
            </w:pPr>
            <w:r>
              <w:rPr/>
              <w:t>The Oil Fields (Regulation and Development) Act, 1948;</w:t>
            </w:r>
          </w:p>
          <w:p>
            <w:pPr>
              <w:pStyle w:val="Normal"/>
              <w:jc w:val="center"/>
              <w:rPr/>
            </w:pPr>
            <w:r>
              <w:rPr/>
              <w:t>The Petroleum and Natural Gas Rules, 1959</w:t>
            </w:r>
          </w:p>
          <w:p>
            <w:pPr>
              <w:pStyle w:val="Normal"/>
              <w:jc w:val="center"/>
              <w:rPr/>
            </w:pPr>
            <w:r>
              <w:rPr/>
            </w:r>
          </w:p>
        </w:tc>
      </w:tr>
      <w:tr>
        <w:trPr/>
        <w:tc>
          <w:tcPr>
            <w:tcW w:w="6498" w:type="dxa"/>
            <w:tcBorders>
              <w:top w:val="single" w:sz="4" w:space="0" w:color="000000"/>
              <w:start w:val="single" w:sz="4" w:space="0" w:color="000000"/>
              <w:bottom w:val="single" w:sz="4" w:space="0" w:color="000000"/>
              <w:end w:val="single" w:sz="4" w:space="0" w:color="000000"/>
            </w:tcBorders>
          </w:tcPr>
          <w:p>
            <w:pPr>
              <w:pStyle w:val="Normal"/>
              <w:jc w:val="center"/>
              <w:rPr/>
            </w:pPr>
            <w:r>
              <w:rPr/>
              <w:t>Ministry of External Affairs</w:t>
            </w:r>
          </w:p>
        </w:tc>
        <w:tc>
          <w:tcPr>
            <w:tcW w:w="7830" w:type="dxa"/>
            <w:tcBorders>
              <w:top w:val="single" w:sz="4" w:space="0" w:color="000000"/>
              <w:start w:val="single" w:sz="4" w:space="0" w:color="000000"/>
              <w:bottom w:val="single" w:sz="4" w:space="0" w:color="000000"/>
              <w:end w:val="single" w:sz="4" w:space="0" w:color="000000"/>
            </w:tcBorders>
          </w:tcPr>
          <w:p>
            <w:pPr>
              <w:pStyle w:val="Normal"/>
              <w:jc w:val="center"/>
              <w:rPr/>
            </w:pPr>
            <w:r>
              <w:rPr/>
              <w:t>The Territorial Waters, Continental Shelf, Exclusive Economic Zone and Other Maritime Zones Act, 1976</w:t>
            </w:r>
          </w:p>
          <w:p>
            <w:pPr>
              <w:pStyle w:val="Normal"/>
              <w:jc w:val="center"/>
              <w:rPr/>
            </w:pPr>
            <w:r>
              <w:rPr/>
            </w:r>
          </w:p>
        </w:tc>
      </w:tr>
      <w:tr>
        <w:trPr/>
        <w:tc>
          <w:tcPr>
            <w:tcW w:w="6498" w:type="dxa"/>
            <w:tcBorders>
              <w:top w:val="single" w:sz="4" w:space="0" w:color="000000"/>
              <w:start w:val="single" w:sz="4" w:space="0" w:color="000000"/>
              <w:bottom w:val="single" w:sz="4" w:space="0" w:color="000000"/>
              <w:end w:val="single" w:sz="4" w:space="0" w:color="000000"/>
            </w:tcBorders>
          </w:tcPr>
          <w:p>
            <w:pPr>
              <w:pStyle w:val="Normal"/>
              <w:jc w:val="center"/>
              <w:rPr/>
            </w:pPr>
            <w:r>
              <w:rPr/>
              <w:t>Ministry of Environment and Forests;</w:t>
            </w:r>
          </w:p>
          <w:p>
            <w:pPr>
              <w:pStyle w:val="Normal"/>
              <w:jc w:val="center"/>
              <w:rPr/>
            </w:pPr>
            <w:r>
              <w:rPr/>
              <w:t>Gujarat Water (Prevention and Control of Pollution) Board;</w:t>
            </w:r>
          </w:p>
          <w:p>
            <w:pPr>
              <w:pStyle w:val="Normal"/>
              <w:jc w:val="center"/>
              <w:rPr/>
            </w:pPr>
            <w:r>
              <w:rPr/>
              <w:t>Gujarat State Department of Forest and Environment;</w:t>
            </w:r>
          </w:p>
          <w:p>
            <w:pPr>
              <w:pStyle w:val="Normal"/>
              <w:jc w:val="center"/>
              <w:rPr/>
            </w:pPr>
            <w:r>
              <w:rPr/>
              <w:t>Gujarat State Conservator of Forests</w:t>
            </w:r>
          </w:p>
          <w:p>
            <w:pPr>
              <w:pStyle w:val="Normal"/>
              <w:jc w:val="center"/>
              <w:rPr/>
            </w:pPr>
            <w:r>
              <w:rPr/>
            </w:r>
          </w:p>
        </w:tc>
        <w:tc>
          <w:tcPr>
            <w:tcW w:w="7830" w:type="dxa"/>
            <w:tcBorders>
              <w:top w:val="single" w:sz="4" w:space="0" w:color="000000"/>
              <w:start w:val="single" w:sz="4" w:space="0" w:color="000000"/>
              <w:bottom w:val="single" w:sz="4" w:space="0" w:color="000000"/>
              <w:end w:val="single" w:sz="4" w:space="0" w:color="000000"/>
            </w:tcBorders>
          </w:tcPr>
          <w:p>
            <w:pPr>
              <w:pStyle w:val="Normal"/>
              <w:jc w:val="center"/>
              <w:rPr/>
            </w:pPr>
            <w:r>
              <w:rPr/>
              <w:t>The Environment (Protection) Act, 1986;</w:t>
            </w:r>
          </w:p>
          <w:p>
            <w:pPr>
              <w:pStyle w:val="Normal"/>
              <w:jc w:val="center"/>
              <w:rPr/>
            </w:pPr>
            <w:r>
              <w:rPr/>
              <w:t xml:space="preserve"> </w:t>
            </w:r>
            <w:r>
              <w:rPr/>
              <w:t>The Water (Prevention and Control of Pollution) Act, 1974 read with The Gujarat Water (Prevention and Control of Pollution) Rules, 1976;</w:t>
            </w:r>
          </w:p>
          <w:p>
            <w:pPr>
              <w:pStyle w:val="Normal"/>
              <w:jc w:val="center"/>
              <w:rPr/>
            </w:pPr>
            <w:r>
              <w:rPr/>
              <w:t xml:space="preserve">The Air (Prevention and Control of Pollution) Act, 1981 read with the Gujarat Air (Prevention and Control of Pollution) Rules, 1983 </w:t>
            </w:r>
          </w:p>
        </w:tc>
      </w:tr>
      <w:tr>
        <w:trPr/>
        <w:tc>
          <w:tcPr>
            <w:tcW w:w="6498" w:type="dxa"/>
            <w:tcBorders>
              <w:top w:val="single" w:sz="4" w:space="0" w:color="000000"/>
              <w:start w:val="single" w:sz="4" w:space="0" w:color="000000"/>
              <w:bottom w:val="single" w:sz="4" w:space="0" w:color="000000"/>
              <w:end w:val="single" w:sz="4" w:space="0" w:color="000000"/>
            </w:tcBorders>
          </w:tcPr>
          <w:p>
            <w:pPr>
              <w:pStyle w:val="Normal"/>
              <w:jc w:val="center"/>
              <w:rPr/>
            </w:pPr>
            <w:r>
              <w:rPr/>
              <w:t>Ministry of Petroleum and Natural Gas</w:t>
            </w:r>
          </w:p>
          <w:p>
            <w:pPr>
              <w:pStyle w:val="Normal"/>
              <w:jc w:val="center"/>
              <w:rPr/>
            </w:pPr>
            <w:r>
              <w:rPr/>
            </w:r>
          </w:p>
        </w:tc>
        <w:tc>
          <w:tcPr>
            <w:tcW w:w="7830" w:type="dxa"/>
            <w:tcBorders>
              <w:top w:val="single" w:sz="4" w:space="0" w:color="000000"/>
              <w:start w:val="single" w:sz="4" w:space="0" w:color="000000"/>
              <w:bottom w:val="single" w:sz="4" w:space="0" w:color="000000"/>
              <w:end w:val="single" w:sz="4" w:space="0" w:color="000000"/>
            </w:tcBorders>
          </w:tcPr>
          <w:p>
            <w:pPr>
              <w:pStyle w:val="Normal"/>
              <w:jc w:val="center"/>
              <w:rPr/>
            </w:pPr>
            <w:r>
              <w:rPr/>
              <w:t>The Petroleum &amp; Minerals Pipelines (Acquisitions of Right of User in Land) Act, 1962</w:t>
            </w:r>
          </w:p>
        </w:tc>
      </w:tr>
      <w:tr>
        <w:trPr/>
        <w:tc>
          <w:tcPr>
            <w:tcW w:w="6498" w:type="dxa"/>
            <w:tcBorders>
              <w:top w:val="single" w:sz="4" w:space="0" w:color="000000"/>
              <w:start w:val="single" w:sz="4" w:space="0" w:color="000000"/>
              <w:bottom w:val="single" w:sz="4" w:space="0" w:color="000000"/>
              <w:end w:val="single" w:sz="4" w:space="0" w:color="000000"/>
            </w:tcBorders>
          </w:tcPr>
          <w:p>
            <w:pPr>
              <w:pStyle w:val="Normal"/>
              <w:jc w:val="center"/>
              <w:rPr/>
            </w:pPr>
            <w:r>
              <w:rPr/>
              <w:t>Ministry of Communication</w:t>
            </w:r>
          </w:p>
          <w:p>
            <w:pPr>
              <w:pStyle w:val="Normal"/>
              <w:jc w:val="center"/>
              <w:rPr/>
            </w:pPr>
            <w:r>
              <w:rPr/>
              <w:t>Director General of Posts &amp; Telegraphs</w:t>
            </w:r>
          </w:p>
          <w:p>
            <w:pPr>
              <w:pStyle w:val="Normal"/>
              <w:jc w:val="center"/>
              <w:rPr/>
            </w:pPr>
            <w:r>
              <w:rPr/>
            </w:r>
          </w:p>
        </w:tc>
        <w:tc>
          <w:tcPr>
            <w:tcW w:w="7830" w:type="dxa"/>
            <w:tcBorders>
              <w:top w:val="single" w:sz="4" w:space="0" w:color="000000"/>
              <w:start w:val="single" w:sz="4" w:space="0" w:color="000000"/>
              <w:bottom w:val="single" w:sz="4" w:space="0" w:color="000000"/>
              <w:end w:val="single" w:sz="4" w:space="0" w:color="000000"/>
            </w:tcBorders>
          </w:tcPr>
          <w:p>
            <w:pPr>
              <w:pStyle w:val="Normal"/>
              <w:jc w:val="center"/>
              <w:rPr/>
            </w:pPr>
            <w:r>
              <w:rPr/>
              <w:t>The Indian Telegraph Act, 1885 read with The Indian Wireless Telegraphic Act, 1933</w:t>
            </w:r>
          </w:p>
        </w:tc>
      </w:tr>
      <w:tr>
        <w:trPr/>
        <w:tc>
          <w:tcPr>
            <w:tcW w:w="6498" w:type="dxa"/>
            <w:tcBorders>
              <w:top w:val="single" w:sz="4" w:space="0" w:color="000000"/>
              <w:start w:val="single" w:sz="4" w:space="0" w:color="000000"/>
              <w:bottom w:val="single" w:sz="4" w:space="0" w:color="000000"/>
              <w:end w:val="single" w:sz="4" w:space="0" w:color="000000"/>
            </w:tcBorders>
          </w:tcPr>
          <w:p>
            <w:pPr>
              <w:pStyle w:val="Normal"/>
              <w:jc w:val="center"/>
              <w:rPr/>
            </w:pPr>
            <w:r>
              <w:rPr/>
              <w:t>Ministry of Law, Justice and Company Affairs;</w:t>
            </w:r>
          </w:p>
          <w:p>
            <w:pPr>
              <w:pStyle w:val="Normal"/>
              <w:jc w:val="center"/>
              <w:rPr/>
            </w:pPr>
            <w:r>
              <w:rPr/>
              <w:t>Registrar of Companies, Maharashtra;</w:t>
            </w:r>
          </w:p>
          <w:p>
            <w:pPr>
              <w:pStyle w:val="Normal"/>
              <w:jc w:val="center"/>
              <w:rPr/>
            </w:pPr>
            <w:r>
              <w:rPr/>
              <w:t>Department of Company Affairs;</w:t>
            </w:r>
          </w:p>
          <w:p>
            <w:pPr>
              <w:pStyle w:val="Normal"/>
              <w:jc w:val="center"/>
              <w:rPr/>
            </w:pPr>
            <w:r>
              <w:rPr/>
              <w:t>Company Law Board</w:t>
            </w:r>
          </w:p>
          <w:p>
            <w:pPr>
              <w:pStyle w:val="Normal"/>
              <w:jc w:val="center"/>
              <w:rPr/>
            </w:pPr>
            <w:r>
              <w:rPr/>
            </w:r>
          </w:p>
        </w:tc>
        <w:tc>
          <w:tcPr>
            <w:tcW w:w="7830" w:type="dxa"/>
            <w:tcBorders>
              <w:top w:val="single" w:sz="4" w:space="0" w:color="000000"/>
              <w:start w:val="single" w:sz="4" w:space="0" w:color="000000"/>
              <w:bottom w:val="single" w:sz="4" w:space="0" w:color="000000"/>
              <w:end w:val="single" w:sz="4" w:space="0" w:color="000000"/>
            </w:tcBorders>
          </w:tcPr>
          <w:p>
            <w:pPr>
              <w:pStyle w:val="Normal"/>
              <w:jc w:val="center"/>
              <w:rPr/>
            </w:pPr>
            <w:r>
              <w:rPr/>
              <w:t>The Companies Act, 1956</w:t>
            </w:r>
          </w:p>
        </w:tc>
      </w:tr>
      <w:tr>
        <w:trPr/>
        <w:tc>
          <w:tcPr>
            <w:tcW w:w="6498" w:type="dxa"/>
            <w:tcBorders>
              <w:top w:val="single" w:sz="4" w:space="0" w:color="000000"/>
              <w:start w:val="single" w:sz="4" w:space="0" w:color="000000"/>
              <w:bottom w:val="single" w:sz="4" w:space="0" w:color="000000"/>
              <w:end w:val="single" w:sz="4" w:space="0" w:color="000000"/>
            </w:tcBorders>
          </w:tcPr>
          <w:p>
            <w:pPr>
              <w:pStyle w:val="Normal"/>
              <w:jc w:val="center"/>
              <w:rPr/>
            </w:pPr>
            <w:r>
              <w:rPr/>
              <w:t>Ministry of Finance</w:t>
            </w:r>
          </w:p>
          <w:p>
            <w:pPr>
              <w:pStyle w:val="Normal"/>
              <w:jc w:val="center"/>
              <w:rPr/>
            </w:pPr>
            <w:r>
              <w:rPr/>
              <w:t>The Commissioner of Central Excise</w:t>
            </w:r>
          </w:p>
          <w:p>
            <w:pPr>
              <w:pStyle w:val="Normal"/>
              <w:jc w:val="center"/>
              <w:rPr/>
            </w:pPr>
            <w:r>
              <w:rPr/>
            </w:r>
          </w:p>
        </w:tc>
        <w:tc>
          <w:tcPr>
            <w:tcW w:w="7830" w:type="dxa"/>
            <w:tcBorders>
              <w:top w:val="single" w:sz="4" w:space="0" w:color="000000"/>
              <w:start w:val="single" w:sz="4" w:space="0" w:color="000000"/>
              <w:bottom w:val="single" w:sz="4" w:space="0" w:color="000000"/>
              <w:end w:val="single" w:sz="4" w:space="0" w:color="000000"/>
            </w:tcBorders>
          </w:tcPr>
          <w:p>
            <w:pPr>
              <w:pStyle w:val="Normal"/>
              <w:jc w:val="center"/>
              <w:rPr/>
            </w:pPr>
            <w:r>
              <w:rPr/>
              <w:t>The Central Excise Act, 1944</w:t>
            </w:r>
          </w:p>
          <w:p>
            <w:pPr>
              <w:pStyle w:val="Normal"/>
              <w:jc w:val="center"/>
              <w:rPr/>
            </w:pPr>
            <w:r>
              <w:rPr/>
              <w:t>The Mineral Oils (Additional Duties of Excise &amp; Customs) Amendment Act, 1959</w:t>
            </w:r>
          </w:p>
        </w:tc>
      </w:tr>
      <w:tr>
        <w:trPr/>
        <w:tc>
          <w:tcPr>
            <w:tcW w:w="6498" w:type="dxa"/>
            <w:tcBorders>
              <w:top w:val="single" w:sz="4" w:space="0" w:color="000000"/>
              <w:start w:val="single" w:sz="4" w:space="0" w:color="000000"/>
              <w:bottom w:val="single" w:sz="4" w:space="0" w:color="000000"/>
              <w:end w:val="single" w:sz="4" w:space="0" w:color="000000"/>
            </w:tcBorders>
          </w:tcPr>
          <w:p>
            <w:pPr>
              <w:pStyle w:val="Normal"/>
              <w:jc w:val="center"/>
              <w:rPr/>
            </w:pPr>
            <w:r>
              <w:rPr/>
              <w:t>Ministry of Finance</w:t>
            </w:r>
          </w:p>
          <w:p>
            <w:pPr>
              <w:pStyle w:val="Normal"/>
              <w:jc w:val="center"/>
              <w:rPr/>
            </w:pPr>
            <w:r>
              <w:rPr/>
              <w:t>The Commissioner of Customs</w:t>
            </w:r>
          </w:p>
          <w:p>
            <w:pPr>
              <w:pStyle w:val="Normal"/>
              <w:jc w:val="center"/>
              <w:rPr/>
            </w:pPr>
            <w:r>
              <w:rPr/>
            </w:r>
          </w:p>
        </w:tc>
        <w:tc>
          <w:tcPr>
            <w:tcW w:w="7830" w:type="dxa"/>
            <w:tcBorders>
              <w:top w:val="single" w:sz="4" w:space="0" w:color="000000"/>
              <w:start w:val="single" w:sz="4" w:space="0" w:color="000000"/>
              <w:bottom w:val="single" w:sz="4" w:space="0" w:color="000000"/>
              <w:end w:val="single" w:sz="4" w:space="0" w:color="000000"/>
            </w:tcBorders>
          </w:tcPr>
          <w:p>
            <w:pPr>
              <w:pStyle w:val="Normal"/>
              <w:jc w:val="center"/>
              <w:rPr/>
            </w:pPr>
            <w:r>
              <w:rPr/>
              <w:t>The Customs Act, 1962</w:t>
            </w:r>
          </w:p>
        </w:tc>
      </w:tr>
      <w:tr>
        <w:trPr/>
        <w:tc>
          <w:tcPr>
            <w:tcW w:w="6498" w:type="dxa"/>
            <w:tcBorders>
              <w:top w:val="single" w:sz="4" w:space="0" w:color="000000"/>
              <w:start w:val="single" w:sz="4" w:space="0" w:color="000000"/>
              <w:bottom w:val="single" w:sz="4" w:space="0" w:color="000000"/>
              <w:end w:val="single" w:sz="4" w:space="0" w:color="000000"/>
            </w:tcBorders>
          </w:tcPr>
          <w:p>
            <w:pPr>
              <w:pStyle w:val="Normal"/>
              <w:jc w:val="center"/>
              <w:rPr/>
            </w:pPr>
            <w:r>
              <w:rPr/>
              <w:t>Ministry of Finance</w:t>
            </w:r>
          </w:p>
          <w:p>
            <w:pPr>
              <w:pStyle w:val="Normal"/>
              <w:jc w:val="center"/>
              <w:rPr/>
            </w:pPr>
            <w:r>
              <w:rPr/>
              <w:t>The Commissioner of Income Tax</w:t>
            </w:r>
          </w:p>
          <w:p>
            <w:pPr>
              <w:pStyle w:val="Normal"/>
              <w:jc w:val="center"/>
              <w:rPr/>
            </w:pPr>
            <w:r>
              <w:rPr/>
            </w:r>
          </w:p>
        </w:tc>
        <w:tc>
          <w:tcPr>
            <w:tcW w:w="7830" w:type="dxa"/>
            <w:tcBorders>
              <w:top w:val="single" w:sz="4" w:space="0" w:color="000000"/>
              <w:start w:val="single" w:sz="4" w:space="0" w:color="000000"/>
              <w:bottom w:val="single" w:sz="4" w:space="0" w:color="000000"/>
              <w:end w:val="single" w:sz="4" w:space="0" w:color="000000"/>
            </w:tcBorders>
          </w:tcPr>
          <w:p>
            <w:pPr>
              <w:pStyle w:val="Normal"/>
              <w:jc w:val="center"/>
              <w:rPr/>
            </w:pPr>
            <w:r>
              <w:rPr/>
              <w:t>The Income Tax, 1961</w:t>
            </w:r>
          </w:p>
        </w:tc>
      </w:tr>
    </w:tbl>
    <w:p>
      <w:pPr>
        <w:pStyle w:val="Normal"/>
        <w:rPr/>
      </w:pPr>
      <w:r>
        <w:br w:type="page"/>
      </w:r>
      <w:r>
        <w:rPr/>
      </w:r>
    </w:p>
    <w:tbl>
      <w:tblPr>
        <w:tblW w:w="14328" w:type="dxa"/>
        <w:jc w:val="start"/>
        <w:tblInd w:w="0" w:type="dxa"/>
        <w:tblLayout w:type="fixed"/>
        <w:tblCellMar>
          <w:top w:w="0" w:type="dxa"/>
          <w:start w:w="108" w:type="dxa"/>
          <w:bottom w:w="0" w:type="dxa"/>
          <w:end w:w="108" w:type="dxa"/>
        </w:tblCellMar>
      </w:tblPr>
      <w:tblGrid>
        <w:gridCol w:w="6498"/>
        <w:gridCol w:w="7830"/>
      </w:tblGrid>
      <w:tr>
        <w:trPr/>
        <w:tc>
          <w:tcPr>
            <w:tcW w:w="6498"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Governing Ministry, Department or Agency</w:t>
            </w:r>
          </w:p>
          <w:p>
            <w:pPr>
              <w:pStyle w:val="Normal"/>
              <w:jc w:val="center"/>
              <w:rPr>
                <w:b/>
              </w:rPr>
            </w:pPr>
            <w:r>
              <w:rPr>
                <w:b/>
              </w:rPr>
            </w:r>
          </w:p>
        </w:tc>
        <w:tc>
          <w:tcPr>
            <w:tcW w:w="783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Governing Laws and Regulations</w:t>
            </w:r>
          </w:p>
          <w:p>
            <w:pPr>
              <w:pStyle w:val="Normal"/>
              <w:jc w:val="center"/>
              <w:rPr>
                <w:b/>
              </w:rPr>
            </w:pPr>
            <w:r>
              <w:rPr>
                <w:b/>
              </w:rPr>
            </w:r>
          </w:p>
        </w:tc>
      </w:tr>
      <w:tr>
        <w:trPr/>
        <w:tc>
          <w:tcPr>
            <w:tcW w:w="6498" w:type="dxa"/>
            <w:tcBorders>
              <w:top w:val="single" w:sz="4" w:space="0" w:color="000000"/>
              <w:start w:val="single" w:sz="4" w:space="0" w:color="000000"/>
              <w:bottom w:val="single" w:sz="4" w:space="0" w:color="000000"/>
              <w:end w:val="single" w:sz="4" w:space="0" w:color="000000"/>
            </w:tcBorders>
          </w:tcPr>
          <w:p>
            <w:pPr>
              <w:pStyle w:val="Normal"/>
              <w:jc w:val="center"/>
              <w:rPr/>
            </w:pPr>
            <w:r>
              <w:rPr/>
              <w:t>Finance Department, Government of Maharashtra</w:t>
            </w:r>
          </w:p>
          <w:p>
            <w:pPr>
              <w:pStyle w:val="Normal"/>
              <w:jc w:val="center"/>
              <w:rPr/>
            </w:pPr>
            <w:r>
              <w:rPr/>
              <w:t>The Commissioner of Sales Tax</w:t>
            </w:r>
          </w:p>
          <w:p>
            <w:pPr>
              <w:pStyle w:val="Normal"/>
              <w:jc w:val="center"/>
              <w:rPr/>
            </w:pPr>
            <w:r>
              <w:rPr/>
            </w:r>
          </w:p>
        </w:tc>
        <w:tc>
          <w:tcPr>
            <w:tcW w:w="7830" w:type="dxa"/>
            <w:tcBorders>
              <w:top w:val="single" w:sz="4" w:space="0" w:color="000000"/>
              <w:start w:val="single" w:sz="4" w:space="0" w:color="000000"/>
              <w:bottom w:val="single" w:sz="4" w:space="0" w:color="000000"/>
              <w:end w:val="single" w:sz="4" w:space="0" w:color="000000"/>
            </w:tcBorders>
          </w:tcPr>
          <w:p>
            <w:pPr>
              <w:pStyle w:val="Normal"/>
              <w:jc w:val="center"/>
              <w:rPr/>
            </w:pPr>
            <w:r>
              <w:rPr/>
              <w:t>The Bombay Sales Tax Act, 1959</w:t>
            </w:r>
          </w:p>
          <w:p>
            <w:pPr>
              <w:pStyle w:val="Normal"/>
              <w:jc w:val="center"/>
              <w:rPr/>
            </w:pPr>
            <w:r>
              <w:rPr/>
            </w:r>
          </w:p>
        </w:tc>
      </w:tr>
      <w:tr>
        <w:trPr>
          <w:trHeight w:val="566" w:hRule="atLeast"/>
        </w:trPr>
        <w:tc>
          <w:tcPr>
            <w:tcW w:w="6498" w:type="dxa"/>
            <w:tcBorders>
              <w:top w:val="single" w:sz="4" w:space="0" w:color="000000"/>
              <w:start w:val="single" w:sz="4" w:space="0" w:color="000000"/>
              <w:bottom w:val="single" w:sz="4" w:space="0" w:color="000000"/>
              <w:end w:val="single" w:sz="4" w:space="0" w:color="000000"/>
            </w:tcBorders>
          </w:tcPr>
          <w:p>
            <w:pPr>
              <w:pStyle w:val="Normal"/>
              <w:jc w:val="center"/>
              <w:rPr/>
            </w:pPr>
            <w:r>
              <w:rPr/>
              <w:t xml:space="preserve">Finance Department, Government of Gujarat </w:t>
            </w:r>
          </w:p>
          <w:p>
            <w:pPr>
              <w:pStyle w:val="Normal"/>
              <w:jc w:val="center"/>
              <w:rPr/>
            </w:pPr>
            <w:r>
              <w:rPr/>
              <w:t>The Commissioner of Sales Tax</w:t>
            </w:r>
          </w:p>
        </w:tc>
        <w:tc>
          <w:tcPr>
            <w:tcW w:w="7830" w:type="dxa"/>
            <w:tcBorders>
              <w:top w:val="single" w:sz="4" w:space="0" w:color="000000"/>
              <w:start w:val="single" w:sz="4" w:space="0" w:color="000000"/>
              <w:bottom w:val="single" w:sz="4" w:space="0" w:color="000000"/>
              <w:end w:val="single" w:sz="4" w:space="0" w:color="000000"/>
            </w:tcBorders>
          </w:tcPr>
          <w:p>
            <w:pPr>
              <w:pStyle w:val="Normal"/>
              <w:jc w:val="center"/>
              <w:rPr/>
            </w:pPr>
            <w:r>
              <w:rPr/>
              <w:t>The Gujarat Sales Tax Act, 1969</w:t>
            </w:r>
          </w:p>
          <w:p>
            <w:pPr>
              <w:pStyle w:val="Normal"/>
              <w:jc w:val="center"/>
              <w:rPr/>
            </w:pPr>
            <w:r>
              <w:rPr/>
            </w:r>
          </w:p>
        </w:tc>
      </w:tr>
      <w:tr>
        <w:trPr/>
        <w:tc>
          <w:tcPr>
            <w:tcW w:w="6498" w:type="dxa"/>
            <w:tcBorders>
              <w:top w:val="single" w:sz="4" w:space="0" w:color="000000"/>
              <w:start w:val="single" w:sz="4" w:space="0" w:color="000000"/>
              <w:bottom w:val="single" w:sz="4" w:space="0" w:color="000000"/>
              <w:end w:val="single" w:sz="4" w:space="0" w:color="000000"/>
            </w:tcBorders>
          </w:tcPr>
          <w:p>
            <w:pPr>
              <w:pStyle w:val="Normal"/>
              <w:jc w:val="center"/>
              <w:rPr/>
            </w:pPr>
            <w:r>
              <w:rPr/>
              <w:t>Ministry of Finance</w:t>
            </w:r>
          </w:p>
          <w:p>
            <w:pPr>
              <w:pStyle w:val="Normal"/>
              <w:jc w:val="center"/>
              <w:rPr/>
            </w:pPr>
            <w:r>
              <w:rPr/>
              <w:t>Department of Revenue, Central Excise</w:t>
            </w:r>
          </w:p>
          <w:p>
            <w:pPr>
              <w:pStyle w:val="Normal"/>
              <w:jc w:val="center"/>
              <w:rPr/>
            </w:pPr>
            <w:r>
              <w:rPr/>
              <w:t>The Oil Industry Development Board</w:t>
            </w:r>
          </w:p>
          <w:p>
            <w:pPr>
              <w:pStyle w:val="Normal"/>
              <w:jc w:val="center"/>
              <w:rPr/>
            </w:pPr>
            <w:r>
              <w:rPr/>
            </w:r>
          </w:p>
        </w:tc>
        <w:tc>
          <w:tcPr>
            <w:tcW w:w="7830" w:type="dxa"/>
            <w:tcBorders>
              <w:top w:val="single" w:sz="4" w:space="0" w:color="000000"/>
              <w:start w:val="single" w:sz="4" w:space="0" w:color="000000"/>
              <w:bottom w:val="single" w:sz="4" w:space="0" w:color="000000"/>
              <w:end w:val="single" w:sz="4" w:space="0" w:color="000000"/>
            </w:tcBorders>
          </w:tcPr>
          <w:p>
            <w:pPr>
              <w:pStyle w:val="Normal"/>
              <w:jc w:val="center"/>
              <w:rPr/>
            </w:pPr>
            <w:r>
              <w:rPr/>
              <w:t>The Oil Industry (Development) Act, 1974</w:t>
            </w:r>
          </w:p>
        </w:tc>
      </w:tr>
      <w:tr>
        <w:trPr/>
        <w:tc>
          <w:tcPr>
            <w:tcW w:w="6498" w:type="dxa"/>
            <w:tcBorders>
              <w:top w:val="single" w:sz="4" w:space="0" w:color="000000"/>
              <w:start w:val="single" w:sz="4" w:space="0" w:color="000000"/>
              <w:bottom w:val="single" w:sz="4" w:space="0" w:color="000000"/>
              <w:end w:val="single" w:sz="4" w:space="0" w:color="000000"/>
            </w:tcBorders>
          </w:tcPr>
          <w:p>
            <w:pPr>
              <w:pStyle w:val="Normal"/>
              <w:jc w:val="center"/>
              <w:rPr/>
            </w:pPr>
            <w:r>
              <w:rPr/>
              <w:t>Ministry of Finance</w:t>
            </w:r>
          </w:p>
          <w:p>
            <w:pPr>
              <w:pStyle w:val="Normal"/>
              <w:jc w:val="center"/>
              <w:rPr/>
            </w:pPr>
            <w:r>
              <w:rPr/>
              <w:t>Reserve Bank Of India</w:t>
            </w:r>
          </w:p>
          <w:p>
            <w:pPr>
              <w:pStyle w:val="Normal"/>
              <w:jc w:val="center"/>
              <w:rPr/>
            </w:pPr>
            <w:r>
              <w:rPr/>
            </w:r>
          </w:p>
        </w:tc>
        <w:tc>
          <w:tcPr>
            <w:tcW w:w="7830" w:type="dxa"/>
            <w:tcBorders>
              <w:top w:val="single" w:sz="4" w:space="0" w:color="000000"/>
              <w:start w:val="single" w:sz="4" w:space="0" w:color="000000"/>
              <w:bottom w:val="single" w:sz="4" w:space="0" w:color="000000"/>
              <w:end w:val="single" w:sz="4" w:space="0" w:color="000000"/>
            </w:tcBorders>
          </w:tcPr>
          <w:p>
            <w:pPr>
              <w:pStyle w:val="Normal"/>
              <w:jc w:val="center"/>
              <w:rPr/>
            </w:pPr>
            <w:r>
              <w:rPr/>
              <w:t>The Foreign Exchange Management Act, 1999</w:t>
            </w:r>
          </w:p>
        </w:tc>
      </w:tr>
      <w:tr>
        <w:trPr/>
        <w:tc>
          <w:tcPr>
            <w:tcW w:w="6498" w:type="dxa"/>
            <w:tcBorders>
              <w:top w:val="single" w:sz="4" w:space="0" w:color="000000"/>
              <w:start w:val="single" w:sz="4" w:space="0" w:color="000000"/>
              <w:bottom w:val="single" w:sz="4" w:space="0" w:color="000000"/>
              <w:end w:val="single" w:sz="4" w:space="0" w:color="000000"/>
            </w:tcBorders>
          </w:tcPr>
          <w:p>
            <w:pPr>
              <w:pStyle w:val="Normal"/>
              <w:jc w:val="center"/>
              <w:rPr/>
            </w:pPr>
            <w:r>
              <w:rPr/>
              <w:t>Ministry of  Commerce &amp; Industry</w:t>
            </w:r>
          </w:p>
          <w:p>
            <w:pPr>
              <w:pStyle w:val="Normal"/>
              <w:jc w:val="center"/>
              <w:rPr/>
            </w:pPr>
            <w:r>
              <w:rPr/>
              <w:t>Department of Explosives</w:t>
            </w:r>
          </w:p>
          <w:p>
            <w:pPr>
              <w:pStyle w:val="Normal"/>
              <w:jc w:val="center"/>
              <w:rPr/>
            </w:pPr>
            <w:r>
              <w:rPr/>
              <w:t>The Chief Controller- Explosives</w:t>
            </w:r>
          </w:p>
          <w:p>
            <w:pPr>
              <w:pStyle w:val="Normal"/>
              <w:jc w:val="center"/>
              <w:rPr/>
            </w:pPr>
            <w:r>
              <w:rPr/>
            </w:r>
          </w:p>
        </w:tc>
        <w:tc>
          <w:tcPr>
            <w:tcW w:w="7830" w:type="dxa"/>
            <w:tcBorders>
              <w:top w:val="single" w:sz="4" w:space="0" w:color="000000"/>
              <w:start w:val="single" w:sz="4" w:space="0" w:color="000000"/>
              <w:bottom w:val="single" w:sz="4" w:space="0" w:color="000000"/>
              <w:end w:val="single" w:sz="4" w:space="0" w:color="000000"/>
            </w:tcBorders>
          </w:tcPr>
          <w:p>
            <w:pPr>
              <w:pStyle w:val="Normal"/>
              <w:jc w:val="center"/>
              <w:rPr/>
            </w:pPr>
            <w:r>
              <w:rPr/>
              <w:t>The Explosives Act, 1884 read with the Explosives Rules, 1983</w:t>
            </w:r>
          </w:p>
          <w:p>
            <w:pPr>
              <w:pStyle w:val="Normal"/>
              <w:jc w:val="center"/>
              <w:rPr/>
            </w:pPr>
            <w:r>
              <w:rPr/>
              <w:t xml:space="preserve">The Explosive Substances Act, 1908 </w:t>
            </w:r>
          </w:p>
        </w:tc>
      </w:tr>
      <w:tr>
        <w:trPr/>
        <w:tc>
          <w:tcPr>
            <w:tcW w:w="6498" w:type="dxa"/>
            <w:tcBorders>
              <w:top w:val="single" w:sz="4" w:space="0" w:color="000000"/>
              <w:start w:val="single" w:sz="4" w:space="0" w:color="000000"/>
              <w:bottom w:val="single" w:sz="4" w:space="0" w:color="000000"/>
              <w:end w:val="single" w:sz="4" w:space="0" w:color="000000"/>
            </w:tcBorders>
          </w:tcPr>
          <w:p>
            <w:pPr>
              <w:pStyle w:val="Normal"/>
              <w:jc w:val="center"/>
              <w:rPr/>
            </w:pPr>
            <w:r>
              <w:rPr/>
              <w:t>Ministry of Labour</w:t>
            </w:r>
          </w:p>
          <w:p>
            <w:pPr>
              <w:pStyle w:val="Normal"/>
              <w:jc w:val="center"/>
              <w:rPr/>
            </w:pPr>
            <w:r>
              <w:rPr/>
              <w:t>The Regional Commissioner</w:t>
            </w:r>
          </w:p>
          <w:p>
            <w:pPr>
              <w:pStyle w:val="Normal"/>
              <w:jc w:val="center"/>
              <w:rPr/>
            </w:pPr>
            <w:r>
              <w:rPr/>
            </w:r>
          </w:p>
        </w:tc>
        <w:tc>
          <w:tcPr>
            <w:tcW w:w="7830" w:type="dxa"/>
            <w:tcBorders>
              <w:top w:val="single" w:sz="4" w:space="0" w:color="000000"/>
              <w:start w:val="single" w:sz="4" w:space="0" w:color="000000"/>
              <w:bottom w:val="single" w:sz="4" w:space="0" w:color="000000"/>
              <w:end w:val="single" w:sz="4" w:space="0" w:color="000000"/>
            </w:tcBorders>
          </w:tcPr>
          <w:p>
            <w:pPr>
              <w:pStyle w:val="Normal"/>
              <w:jc w:val="center"/>
              <w:rPr/>
            </w:pPr>
            <w:r>
              <w:rPr/>
              <w:t xml:space="preserve">The Employees Provident Funds and Miscellaneous Provisions Act, 1952 </w:t>
            </w:r>
          </w:p>
        </w:tc>
      </w:tr>
      <w:tr>
        <w:trPr/>
        <w:tc>
          <w:tcPr>
            <w:tcW w:w="6498" w:type="dxa"/>
            <w:tcBorders>
              <w:top w:val="single" w:sz="4" w:space="0" w:color="000000"/>
              <w:start w:val="single" w:sz="4" w:space="0" w:color="000000"/>
              <w:bottom w:val="single" w:sz="4" w:space="0" w:color="000000"/>
              <w:end w:val="single" w:sz="4" w:space="0" w:color="000000"/>
            </w:tcBorders>
          </w:tcPr>
          <w:p>
            <w:pPr>
              <w:pStyle w:val="Normal"/>
              <w:jc w:val="center"/>
              <w:rPr/>
            </w:pPr>
            <w:r>
              <w:rPr/>
              <w:t>Municipal Corporation of Greater Mumbai</w:t>
            </w:r>
          </w:p>
          <w:p>
            <w:pPr>
              <w:pStyle w:val="Normal"/>
              <w:jc w:val="center"/>
              <w:rPr/>
            </w:pPr>
            <w:r>
              <w:rPr/>
              <w:t>The Inspector of the local area</w:t>
            </w:r>
          </w:p>
        </w:tc>
        <w:tc>
          <w:tcPr>
            <w:tcW w:w="7830" w:type="dxa"/>
            <w:tcBorders>
              <w:top w:val="single" w:sz="4" w:space="0" w:color="000000"/>
              <w:start w:val="single" w:sz="4" w:space="0" w:color="000000"/>
              <w:bottom w:val="single" w:sz="4" w:space="0" w:color="000000"/>
              <w:end w:val="single" w:sz="4" w:space="0" w:color="000000"/>
            </w:tcBorders>
          </w:tcPr>
          <w:p>
            <w:pPr>
              <w:pStyle w:val="Normal"/>
              <w:jc w:val="center"/>
              <w:rPr/>
            </w:pPr>
            <w:r>
              <w:rPr/>
              <w:t>The Bombay Shops &amp; Establishments Act, 1948 read with the Maharashtra Shops &amp; Establishments Act, 1961</w:t>
            </w:r>
          </w:p>
          <w:p>
            <w:pPr>
              <w:pStyle w:val="Normal"/>
              <w:jc w:val="center"/>
              <w:rPr/>
            </w:pPr>
            <w:r>
              <w:rPr/>
              <w:t>(equivalents applicable in Gujarat)</w:t>
            </w:r>
          </w:p>
          <w:p>
            <w:pPr>
              <w:pStyle w:val="Normal"/>
              <w:jc w:val="center"/>
              <w:rPr/>
            </w:pPr>
            <w:r>
              <w:rPr/>
            </w:r>
          </w:p>
        </w:tc>
      </w:tr>
      <w:tr>
        <w:trPr/>
        <w:tc>
          <w:tcPr>
            <w:tcW w:w="6498" w:type="dxa"/>
            <w:tcBorders>
              <w:top w:val="single" w:sz="4" w:space="0" w:color="000000"/>
              <w:start w:val="single" w:sz="4" w:space="0" w:color="000000"/>
              <w:bottom w:val="single" w:sz="4" w:space="0" w:color="000000"/>
              <w:end w:val="single" w:sz="4" w:space="0" w:color="000000"/>
            </w:tcBorders>
          </w:tcPr>
          <w:p>
            <w:pPr>
              <w:pStyle w:val="Normal"/>
              <w:jc w:val="center"/>
              <w:rPr/>
            </w:pPr>
            <w:r>
              <w:rPr/>
              <w:t xml:space="preserve">Ministry of Labour </w:t>
            </w:r>
          </w:p>
          <w:p>
            <w:pPr>
              <w:pStyle w:val="Normal"/>
              <w:jc w:val="center"/>
              <w:rPr/>
            </w:pPr>
            <w:r>
              <w:rPr/>
              <w:t>The Assistant Commissioner of Labour, Bombay</w:t>
            </w:r>
          </w:p>
          <w:p>
            <w:pPr>
              <w:pStyle w:val="Normal"/>
              <w:jc w:val="center"/>
              <w:rPr/>
            </w:pPr>
            <w:r>
              <w:rPr/>
              <w:t>The Assistant Commissioner of Labour, Ahmedabad</w:t>
            </w:r>
          </w:p>
          <w:p>
            <w:pPr>
              <w:pStyle w:val="Normal"/>
              <w:jc w:val="center"/>
              <w:rPr/>
            </w:pPr>
            <w:r>
              <w:rPr/>
            </w:r>
          </w:p>
        </w:tc>
        <w:tc>
          <w:tcPr>
            <w:tcW w:w="7830" w:type="dxa"/>
            <w:tcBorders>
              <w:top w:val="single" w:sz="4" w:space="0" w:color="000000"/>
              <w:start w:val="single" w:sz="4" w:space="0" w:color="000000"/>
              <w:bottom w:val="single" w:sz="4" w:space="0" w:color="000000"/>
              <w:end w:val="single" w:sz="4" w:space="0" w:color="000000"/>
            </w:tcBorders>
          </w:tcPr>
          <w:p>
            <w:pPr>
              <w:pStyle w:val="Normal"/>
              <w:jc w:val="center"/>
              <w:rPr/>
            </w:pPr>
            <w:r>
              <w:rPr/>
              <w:t>The Contact Labour (Regulation &amp; Abolition) Act, 1970 and the Maharashtra Contract Labour (Regulation &amp; Abolition) Rules, 1971;</w:t>
            </w:r>
          </w:p>
          <w:p>
            <w:pPr>
              <w:pStyle w:val="Normal"/>
              <w:jc w:val="center"/>
              <w:rPr/>
            </w:pPr>
            <w:r>
              <w:rPr/>
              <w:t>(Rules as applicable to Gujarat)</w:t>
            </w:r>
          </w:p>
        </w:tc>
      </w:tr>
      <w:tr>
        <w:trPr/>
        <w:tc>
          <w:tcPr>
            <w:tcW w:w="6498" w:type="dxa"/>
            <w:tcBorders>
              <w:top w:val="single" w:sz="4" w:space="0" w:color="000000"/>
              <w:start w:val="single" w:sz="4" w:space="0" w:color="000000"/>
              <w:bottom w:val="single" w:sz="4" w:space="0" w:color="000000"/>
              <w:end w:val="single" w:sz="4" w:space="0" w:color="000000"/>
            </w:tcBorders>
          </w:tcPr>
          <w:p>
            <w:pPr>
              <w:pStyle w:val="Normal"/>
              <w:jc w:val="center"/>
              <w:rPr/>
            </w:pPr>
            <w:r>
              <w:rPr/>
              <w:t>Ministry of Labour,</w:t>
            </w:r>
          </w:p>
          <w:p>
            <w:pPr>
              <w:pStyle w:val="Normal"/>
              <w:jc w:val="center"/>
              <w:rPr/>
            </w:pPr>
            <w:r>
              <w:rPr/>
              <w:t>Regional Labour Commissioner</w:t>
            </w:r>
          </w:p>
          <w:p>
            <w:pPr>
              <w:pStyle w:val="Normal"/>
              <w:jc w:val="center"/>
              <w:rPr/>
            </w:pPr>
            <w:r>
              <w:rPr/>
            </w:r>
          </w:p>
        </w:tc>
        <w:tc>
          <w:tcPr>
            <w:tcW w:w="7830" w:type="dxa"/>
            <w:tcBorders>
              <w:top w:val="single" w:sz="4" w:space="0" w:color="000000"/>
              <w:start w:val="single" w:sz="4" w:space="0" w:color="000000"/>
              <w:bottom w:val="single" w:sz="4" w:space="0" w:color="000000"/>
              <w:end w:val="single" w:sz="4" w:space="0" w:color="000000"/>
            </w:tcBorders>
          </w:tcPr>
          <w:p>
            <w:pPr>
              <w:pStyle w:val="Normal"/>
              <w:jc w:val="center"/>
              <w:rPr/>
            </w:pPr>
            <w:r>
              <w:rPr/>
              <w:t>The Industrial Disputes Act, 1947</w:t>
            </w:r>
          </w:p>
        </w:tc>
      </w:tr>
      <w:tr>
        <w:trPr/>
        <w:tc>
          <w:tcPr>
            <w:tcW w:w="6498" w:type="dxa"/>
            <w:tcBorders>
              <w:top w:val="single" w:sz="4" w:space="0" w:color="000000"/>
              <w:start w:val="single" w:sz="4" w:space="0" w:color="000000"/>
              <w:bottom w:val="single" w:sz="4" w:space="0" w:color="000000"/>
              <w:end w:val="single" w:sz="4" w:space="0" w:color="000000"/>
            </w:tcBorders>
          </w:tcPr>
          <w:p>
            <w:pPr>
              <w:pStyle w:val="Normal"/>
              <w:jc w:val="center"/>
              <w:rPr/>
            </w:pPr>
            <w:r>
              <w:rPr/>
              <w:t>Ministry of Surface Transport</w:t>
            </w:r>
          </w:p>
          <w:p>
            <w:pPr>
              <w:pStyle w:val="Normal"/>
              <w:jc w:val="center"/>
              <w:rPr/>
            </w:pPr>
            <w:r>
              <w:rPr/>
              <w:t>and</w:t>
            </w:r>
          </w:p>
          <w:p>
            <w:pPr>
              <w:pStyle w:val="Normal"/>
              <w:jc w:val="center"/>
              <w:rPr/>
            </w:pPr>
            <w:r>
              <w:rPr/>
              <w:t>The Director General of Shipping</w:t>
            </w:r>
          </w:p>
          <w:p>
            <w:pPr>
              <w:pStyle w:val="Normal"/>
              <w:jc w:val="center"/>
              <w:rPr/>
            </w:pPr>
            <w:r>
              <w:rPr/>
            </w:r>
          </w:p>
        </w:tc>
        <w:tc>
          <w:tcPr>
            <w:tcW w:w="7830" w:type="dxa"/>
            <w:tcBorders>
              <w:top w:val="single" w:sz="4" w:space="0" w:color="000000"/>
              <w:start w:val="single" w:sz="4" w:space="0" w:color="000000"/>
              <w:bottom w:val="single" w:sz="4" w:space="0" w:color="000000"/>
              <w:end w:val="single" w:sz="4" w:space="0" w:color="000000"/>
            </w:tcBorders>
          </w:tcPr>
          <w:p>
            <w:pPr>
              <w:pStyle w:val="Normal"/>
              <w:jc w:val="center"/>
              <w:rPr/>
            </w:pPr>
            <w:r>
              <w:rPr/>
              <w:t>The Merchant Shipping Act, 1958</w:t>
            </w:r>
          </w:p>
        </w:tc>
      </w:tr>
      <w:tr>
        <w:trPr/>
        <w:tc>
          <w:tcPr>
            <w:tcW w:w="6498" w:type="dxa"/>
            <w:tcBorders>
              <w:top w:val="single" w:sz="4" w:space="0" w:color="000000"/>
              <w:start w:val="single" w:sz="4" w:space="0" w:color="000000"/>
              <w:bottom w:val="single" w:sz="4" w:space="0" w:color="000000"/>
              <w:end w:val="single" w:sz="4" w:space="0" w:color="000000"/>
            </w:tcBorders>
          </w:tcPr>
          <w:p>
            <w:pPr>
              <w:pStyle w:val="Normal"/>
              <w:jc w:val="center"/>
              <w:rPr/>
            </w:pPr>
            <w:r>
              <w:rPr/>
              <w:t>Ministry of Commerce</w:t>
            </w:r>
          </w:p>
          <w:p>
            <w:pPr>
              <w:pStyle w:val="Normal"/>
              <w:jc w:val="center"/>
              <w:rPr/>
            </w:pPr>
            <w:r>
              <w:rPr/>
              <w:t>The Director General of Foreign Trade</w:t>
            </w:r>
          </w:p>
        </w:tc>
        <w:tc>
          <w:tcPr>
            <w:tcW w:w="7830" w:type="dxa"/>
            <w:tcBorders>
              <w:top w:val="single" w:sz="4" w:space="0" w:color="000000"/>
              <w:start w:val="single" w:sz="4" w:space="0" w:color="000000"/>
              <w:bottom w:val="single" w:sz="4" w:space="0" w:color="000000"/>
              <w:end w:val="single" w:sz="4" w:space="0" w:color="000000"/>
            </w:tcBorders>
          </w:tcPr>
          <w:p>
            <w:pPr>
              <w:pStyle w:val="Normal"/>
              <w:jc w:val="center"/>
              <w:rPr/>
            </w:pPr>
            <w:r>
              <w:rPr/>
              <w:t>The Foreign Trade (Development and Regulation) Act, 1992 and associated rules.</w:t>
            </w:r>
          </w:p>
        </w:tc>
      </w:tr>
    </w:tbl>
    <w:p>
      <w:pPr>
        <w:pStyle w:val="Normal"/>
        <w:jc w:val="center"/>
        <w:rPr/>
      </w:pPr>
      <w:r>
        <w:rPr/>
      </w:r>
    </w:p>
    <w:p>
      <w:pPr>
        <w:pStyle w:val="Normal"/>
        <w:rPr/>
      </w:pPr>
      <w:r>
        <w:rPr/>
        <w:t>* Awaiting information relating to China.</w:t>
      </w:r>
    </w:p>
    <w:p>
      <w:pPr>
        <w:pStyle w:val="Normal"/>
        <w:rPr/>
      </w:pPr>
      <w:r>
        <w:rPr/>
      </w:r>
    </w:p>
    <w:p>
      <w:pPr>
        <w:sectPr>
          <w:headerReference w:type="default" r:id="rId12"/>
          <w:headerReference w:type="first" r:id="rId13"/>
          <w:footerReference w:type="default" r:id="rId14"/>
          <w:footerReference w:type="first" r:id="rId15"/>
          <w:footnotePr>
            <w:numFmt w:val="decimal"/>
          </w:footnotePr>
          <w:type w:val="nextPage"/>
          <w:pgSz w:orient="landscape" w:w="15840" w:h="12240"/>
          <w:pgMar w:left="1440" w:right="1440" w:gutter="0" w:header="720" w:top="1440" w:footer="720" w:bottom="1440"/>
          <w:pgNumType w:fmt="decimal"/>
          <w:formProt w:val="false"/>
          <w:textDirection w:val="lrTb"/>
          <w:docGrid w:type="default" w:linePitch="360" w:charSpace="0"/>
        </w:sectPr>
        <w:pStyle w:val="Normal"/>
        <w:rPr>
          <w:rFonts w:ascii="Arial" w:hAnsi="Arial" w:cs="Arial"/>
        </w:rPr>
      </w:pPr>
      <w:r>
        <w:rPr>
          <w:rFonts w:cs="Arial" w:ascii="Arial" w:hAnsi="Arial"/>
        </w:rPr>
      </w:r>
    </w:p>
    <w:p>
      <w:pPr>
        <w:pStyle w:val="Heading1"/>
        <w:ind w:hanging="0" w:start="0"/>
        <w:rPr>
          <w:b w:val="false"/>
        </w:rPr>
      </w:pPr>
      <w:r>
        <w:rPr>
          <w:b w:val="false"/>
        </w:rPr>
        <w:t>SCHEDULE 5.10(A) – PRINCIPAL CONTRACTS</w:t>
      </w:r>
    </w:p>
    <w:p>
      <w:pPr>
        <w:pStyle w:val="Heading2"/>
        <w:ind w:hanging="0" w:start="0"/>
        <w:rPr/>
      </w:pPr>
      <w:r>
        <w:rPr/>
        <w:t>EGEP GROUP OF COMPANIES</w:t>
      </w:r>
    </w:p>
    <w:p>
      <w:pPr>
        <w:pStyle w:val="Heading1"/>
        <w:ind w:hanging="0" w:start="0"/>
        <w:jc w:val="both"/>
        <w:rPr>
          <w:b w:val="false"/>
        </w:rPr>
      </w:pPr>
      <w:r>
        <w:rPr>
          <w:b w:val="false"/>
        </w:rPr>
      </w:r>
    </w:p>
    <w:p>
      <w:pPr>
        <w:pStyle w:val="Heading1"/>
        <w:ind w:hanging="0" w:start="0"/>
        <w:jc w:val="both"/>
        <w:rPr>
          <w:b w:val="false"/>
        </w:rPr>
      </w:pPr>
      <w:r>
        <w:rPr>
          <w:b w:val="false"/>
        </w:rPr>
        <w:t>India</w:t>
      </w:r>
    </w:p>
    <w:p>
      <w:pPr>
        <w:pStyle w:val="Normal"/>
        <w:jc w:val="both"/>
        <w:rPr>
          <w:b/>
        </w:rPr>
      </w:pPr>
      <w:r>
        <w:rPr>
          <w:b/>
        </w:rPr>
      </w:r>
    </w:p>
    <w:p>
      <w:pPr>
        <w:pStyle w:val="Heading1"/>
        <w:ind w:hanging="0" w:start="0"/>
        <w:jc w:val="both"/>
        <w:rPr>
          <w:i/>
          <w:i/>
        </w:rPr>
      </w:pPr>
      <w:r>
        <w:rPr>
          <w:i/>
        </w:rPr>
        <w:t>Tapti Project</w:t>
      </w:r>
    </w:p>
    <w:p>
      <w:pPr>
        <w:pStyle w:val="Normal"/>
        <w:jc w:val="both"/>
        <w:rPr>
          <w:i/>
          <w:i/>
        </w:rPr>
      </w:pPr>
      <w:r>
        <w:rPr>
          <w:i/>
        </w:rPr>
      </w:r>
    </w:p>
    <w:p>
      <w:pPr>
        <w:pStyle w:val="BodyTextIndent"/>
        <w:jc w:val="both"/>
        <w:rPr>
          <w:rFonts w:ascii="Arial" w:hAnsi="Arial" w:cs="Arial"/>
          <w:sz w:val="24"/>
        </w:rPr>
      </w:pPr>
      <w:r>
        <w:rPr>
          <w:rFonts w:cs="Arial" w:ascii="Arial" w:hAnsi="Arial"/>
          <w:sz w:val="24"/>
        </w:rPr>
        <w:t>Production Sharing Contract dated December 22, 1994, among The Government of India and Oil &amp; Natural Gas Corporation Limited and Reliance Industries Limited and Enron Oil &amp; Gas India Ltd. with respect to Contract Area identified as Mid and South Tapti Field.</w:t>
      </w:r>
    </w:p>
    <w:p>
      <w:pPr>
        <w:pStyle w:val="BodyTextIndent"/>
        <w:jc w:val="both"/>
        <w:rPr>
          <w:rFonts w:ascii="Arial" w:hAnsi="Arial" w:cs="Arial"/>
          <w:sz w:val="24"/>
        </w:rPr>
      </w:pPr>
      <w:r>
        <w:rPr>
          <w:rFonts w:cs="Arial" w:ascii="Arial" w:hAnsi="Arial"/>
          <w:sz w:val="24"/>
        </w:rPr>
      </w:r>
    </w:p>
    <w:p>
      <w:pPr>
        <w:pStyle w:val="BodyTextIndent"/>
        <w:jc w:val="both"/>
        <w:rPr>
          <w:rFonts w:ascii="Arial" w:hAnsi="Arial" w:cs="Arial"/>
          <w:sz w:val="24"/>
        </w:rPr>
      </w:pPr>
      <w:r>
        <w:rPr>
          <w:rFonts w:cs="Arial" w:ascii="Arial" w:hAnsi="Arial"/>
          <w:sz w:val="24"/>
        </w:rPr>
        <w:t>Joint Operating Agreement dated December 22, 1994, among Oil &amp; Natural Gas Corporation Limited and Reliance Industries Limited and Enron Oil &amp; Gas India Ltd. with respect to Contract Area identified as Mid and South Tapti Field.</w:t>
      </w:r>
    </w:p>
    <w:p>
      <w:pPr>
        <w:pStyle w:val="BodyTextIndent"/>
        <w:jc w:val="both"/>
        <w:rPr>
          <w:rFonts w:ascii="Arial" w:hAnsi="Arial" w:cs="Arial"/>
          <w:sz w:val="24"/>
        </w:rPr>
      </w:pPr>
      <w:r>
        <w:rPr>
          <w:rFonts w:cs="Arial" w:ascii="Arial" w:hAnsi="Arial"/>
          <w:sz w:val="24"/>
        </w:rPr>
      </w:r>
    </w:p>
    <w:p>
      <w:pPr>
        <w:pStyle w:val="BodyTextIndent"/>
        <w:jc w:val="both"/>
        <w:rPr>
          <w:rFonts w:ascii="Arial" w:hAnsi="Arial" w:cs="Arial"/>
          <w:sz w:val="24"/>
        </w:rPr>
      </w:pPr>
      <w:r>
        <w:rPr>
          <w:rFonts w:cs="Arial" w:ascii="Arial" w:hAnsi="Arial"/>
          <w:sz w:val="24"/>
        </w:rPr>
        <w:t>Interim Sales and Purchase Agreement dated June 21, 1997, among Gas Authority of India Limited and Enron Oil &amp; Gas India Ltd., Oil &amp; Natural Gas Corporation Limited and Reliance Industries Limited, as amended eight times to extend the expiration date to January 1, 2001.</w:t>
      </w:r>
    </w:p>
    <w:p>
      <w:pPr>
        <w:pStyle w:val="BodyTextIndent"/>
        <w:jc w:val="both"/>
        <w:rPr>
          <w:rFonts w:ascii="Arial" w:hAnsi="Arial" w:cs="Arial"/>
          <w:sz w:val="24"/>
        </w:rPr>
      </w:pPr>
      <w:r>
        <w:rPr>
          <w:rFonts w:cs="Arial" w:ascii="Arial" w:hAnsi="Arial"/>
          <w:sz w:val="24"/>
        </w:rPr>
      </w:r>
    </w:p>
    <w:p>
      <w:pPr>
        <w:pStyle w:val="BodyTextIndent"/>
        <w:jc w:val="both"/>
        <w:rPr>
          <w:rFonts w:ascii="Arial" w:hAnsi="Arial" w:cs="Arial"/>
          <w:sz w:val="24"/>
        </w:rPr>
      </w:pPr>
      <w:r>
        <w:rPr>
          <w:rFonts w:cs="Arial" w:ascii="Arial" w:hAnsi="Arial"/>
          <w:sz w:val="24"/>
        </w:rPr>
        <w:t>Memorandum of Understanding for Transportation and Processing of Tapti Natural Gas and Associated Condensate dated June 21, 1997, between Enron Oil &amp; Gas India Ltd., Oil &amp; Natural Gas Corporation Limited and Reliance Industries Limited as contractor for the Production Sharing Contract for the Mid and South Tapti Contract Area, and Oil &amp; Natural Gas Corporation Limited as owner of certain transportation pipelines and processing facilities, as amended eight times to extend the expiration date to January 1, 2001.</w:t>
      </w:r>
    </w:p>
    <w:p>
      <w:pPr>
        <w:pStyle w:val="BodyTextIndent"/>
        <w:jc w:val="both"/>
        <w:rPr>
          <w:rFonts w:ascii="Arial" w:hAnsi="Arial" w:cs="Arial"/>
          <w:sz w:val="24"/>
        </w:rPr>
      </w:pPr>
      <w:r>
        <w:rPr>
          <w:rFonts w:cs="Arial" w:ascii="Arial" w:hAnsi="Arial"/>
          <w:sz w:val="24"/>
        </w:rPr>
      </w:r>
    </w:p>
    <w:p>
      <w:pPr>
        <w:pStyle w:val="BodyTextIndent"/>
        <w:jc w:val="both"/>
        <w:rPr>
          <w:rFonts w:ascii="Arial" w:hAnsi="Arial" w:cs="Arial"/>
          <w:sz w:val="24"/>
        </w:rPr>
      </w:pPr>
      <w:r>
        <w:rPr>
          <w:rFonts w:cs="Arial" w:ascii="Arial" w:hAnsi="Arial"/>
          <w:sz w:val="24"/>
        </w:rPr>
      </w:r>
    </w:p>
    <w:p>
      <w:pPr>
        <w:pStyle w:val="Heading1"/>
        <w:ind w:hanging="0" w:start="0"/>
        <w:jc w:val="both"/>
        <w:rPr>
          <w:i/>
          <w:i/>
        </w:rPr>
      </w:pPr>
      <w:r>
        <w:rPr>
          <w:i/>
        </w:rPr>
        <w:t>Panna-Mukta Project</w:t>
      </w:r>
    </w:p>
    <w:p>
      <w:pPr>
        <w:pStyle w:val="Normal"/>
        <w:jc w:val="both"/>
        <w:rPr>
          <w:i/>
          <w:i/>
        </w:rPr>
      </w:pPr>
      <w:r>
        <w:rPr>
          <w:i/>
        </w:rPr>
      </w:r>
    </w:p>
    <w:p>
      <w:pPr>
        <w:pStyle w:val="BodyTextIndent"/>
        <w:jc w:val="both"/>
        <w:rPr>
          <w:rFonts w:ascii="Arial" w:hAnsi="Arial" w:cs="Arial"/>
          <w:sz w:val="24"/>
        </w:rPr>
      </w:pPr>
      <w:r>
        <w:rPr>
          <w:rFonts w:cs="Arial" w:ascii="Arial" w:hAnsi="Arial"/>
          <w:sz w:val="24"/>
        </w:rPr>
        <w:t>Production Sharing Contract dated December 22, 1994, among The Government of India and Oil &amp; Natural Gas Corporation Limited and Reliance Industries Limited and Enron Oil &amp; Gas India Ltd. with respect to Contract Area identified as Panna and Mukta Fields.</w:t>
      </w:r>
    </w:p>
    <w:p>
      <w:pPr>
        <w:pStyle w:val="BodyTextIndent"/>
        <w:jc w:val="both"/>
        <w:rPr>
          <w:rFonts w:ascii="Arial" w:hAnsi="Arial" w:cs="Arial"/>
          <w:sz w:val="24"/>
        </w:rPr>
      </w:pPr>
      <w:r>
        <w:rPr>
          <w:rFonts w:cs="Arial" w:ascii="Arial" w:hAnsi="Arial"/>
          <w:sz w:val="24"/>
        </w:rPr>
      </w:r>
    </w:p>
    <w:p>
      <w:pPr>
        <w:pStyle w:val="BodyTextIndent"/>
        <w:jc w:val="both"/>
        <w:rPr>
          <w:rFonts w:ascii="Arial" w:hAnsi="Arial" w:cs="Arial"/>
          <w:sz w:val="24"/>
        </w:rPr>
      </w:pPr>
      <w:r>
        <w:rPr>
          <w:rFonts w:cs="Arial" w:ascii="Arial" w:hAnsi="Arial"/>
          <w:sz w:val="24"/>
        </w:rPr>
        <w:t>Joint Operating Agreement dated December 22, 1994, among Oil &amp; Natural Gas Corporation Limited and Reliance Industries Limited and Enron Oil &amp; Gas India Ltd. with respect to Contract Area identified as Panna and Mukta Fields.</w:t>
      </w:r>
    </w:p>
    <w:p>
      <w:pPr>
        <w:pStyle w:val="BodyTextIndent"/>
        <w:jc w:val="both"/>
        <w:rPr>
          <w:rFonts w:ascii="Arial" w:hAnsi="Arial" w:cs="Arial"/>
          <w:sz w:val="24"/>
        </w:rPr>
      </w:pPr>
      <w:r>
        <w:rPr>
          <w:rFonts w:cs="Arial" w:ascii="Arial" w:hAnsi="Arial"/>
          <w:sz w:val="24"/>
        </w:rPr>
      </w:r>
    </w:p>
    <w:p>
      <w:pPr>
        <w:pStyle w:val="BodyTextIndent"/>
        <w:jc w:val="both"/>
        <w:rPr>
          <w:rFonts w:ascii="Arial" w:hAnsi="Arial" w:cs="Arial"/>
          <w:sz w:val="24"/>
        </w:rPr>
      </w:pPr>
      <w:r>
        <w:rPr>
          <w:rFonts w:cs="Arial" w:ascii="Arial" w:hAnsi="Arial"/>
          <w:sz w:val="24"/>
        </w:rPr>
        <w:t>Panna and Mukta Fields Interim Sales and Purchase Agreement dated April 1, 1998, among Gas Authority of India Limited and Enron Oil &amp; Gas India Ltd., Oil &amp; Natural Gas Corporation Limited and Reliance Industries Limited, as amended five times to extend the expiration date to January 1, 2001.</w:t>
      </w:r>
    </w:p>
    <w:p>
      <w:pPr>
        <w:pStyle w:val="BodyTextIndent"/>
        <w:jc w:val="both"/>
        <w:rPr>
          <w:rFonts w:ascii="Arial" w:hAnsi="Arial" w:cs="Arial"/>
          <w:sz w:val="24"/>
        </w:rPr>
      </w:pPr>
      <w:r>
        <w:rPr>
          <w:rFonts w:cs="Arial" w:ascii="Arial" w:hAnsi="Arial"/>
          <w:sz w:val="24"/>
        </w:rPr>
      </w:r>
    </w:p>
    <w:p>
      <w:pPr>
        <w:pStyle w:val="BodyTextIndent"/>
        <w:ind w:start="0" w:end="0"/>
        <w:jc w:val="both"/>
        <w:rPr>
          <w:rFonts w:ascii="Arial" w:hAnsi="Arial" w:cs="Arial"/>
          <w:i/>
          <w:i/>
          <w:sz w:val="24"/>
        </w:rPr>
      </w:pPr>
      <w:r>
        <w:rPr>
          <w:rFonts w:eastAsia="Arial" w:cs="Arial" w:ascii="Arial" w:hAnsi="Arial"/>
          <w:i/>
          <w:sz w:val="24"/>
        </w:rPr>
        <w:t xml:space="preserve"> </w:t>
      </w:r>
      <w:r>
        <w:rPr>
          <w:rFonts w:cs="Arial" w:ascii="Arial" w:hAnsi="Arial"/>
          <w:i/>
          <w:sz w:val="24"/>
        </w:rPr>
        <w:t>CB-OS/1 Project</w:t>
      </w:r>
    </w:p>
    <w:p>
      <w:pPr>
        <w:pStyle w:val="BodyTextIndent"/>
        <w:jc w:val="both"/>
        <w:rPr>
          <w:rFonts w:ascii="Arial" w:hAnsi="Arial" w:cs="Arial"/>
          <w:i/>
          <w:i/>
          <w:sz w:val="24"/>
        </w:rPr>
      </w:pPr>
      <w:r>
        <w:rPr>
          <w:rFonts w:cs="Arial" w:ascii="Arial" w:hAnsi="Arial"/>
          <w:i/>
          <w:sz w:val="24"/>
        </w:rPr>
      </w:r>
    </w:p>
    <w:p>
      <w:pPr>
        <w:pStyle w:val="BodyTextIndent"/>
        <w:jc w:val="both"/>
        <w:rPr>
          <w:rFonts w:ascii="Arial" w:hAnsi="Arial" w:cs="Arial"/>
          <w:sz w:val="24"/>
        </w:rPr>
      </w:pPr>
      <w:r>
        <w:rPr>
          <w:rFonts w:cs="Arial" w:ascii="Arial" w:hAnsi="Arial"/>
          <w:sz w:val="24"/>
        </w:rPr>
        <w:t>Production Sharing Contract dated November 19, 1996, among The Government of India and Oil &amp; Natural Gas Corporation Ltd. and VAALCO Energy, Inc., and Tata Petrodyne Limited and Hindustan Oil Exploration Company Limited with respect to Contract Area identified as Block CB-OS/1.</w:t>
      </w:r>
    </w:p>
    <w:p>
      <w:pPr>
        <w:pStyle w:val="BodyTextIndent"/>
        <w:jc w:val="both"/>
        <w:rPr>
          <w:rFonts w:ascii="Arial" w:hAnsi="Arial" w:cs="Arial"/>
          <w:sz w:val="24"/>
        </w:rPr>
      </w:pPr>
      <w:r>
        <w:rPr>
          <w:rFonts w:cs="Arial" w:ascii="Arial" w:hAnsi="Arial"/>
          <w:sz w:val="24"/>
        </w:rPr>
      </w:r>
    </w:p>
    <w:p>
      <w:pPr>
        <w:pStyle w:val="BodyTextIndent"/>
        <w:jc w:val="both"/>
        <w:rPr>
          <w:rFonts w:ascii="Arial" w:hAnsi="Arial" w:cs="Arial"/>
          <w:sz w:val="24"/>
        </w:rPr>
      </w:pPr>
      <w:r>
        <w:rPr>
          <w:rFonts w:cs="Arial" w:ascii="Arial" w:hAnsi="Arial"/>
          <w:sz w:val="24"/>
        </w:rPr>
        <w:t>Joint Operating Agreement dated June 13, 1997, among Oil &amp; Natural Gas Corporation Ltd. and VAALCO Energy, Inc., and Tata Petrodyne Limited and Hindustan Oil Exploration Company Limited with respect to Contract Area identified as Block CB-OS/1.</w:t>
      </w:r>
    </w:p>
    <w:p>
      <w:pPr>
        <w:pStyle w:val="BodyTextIndent"/>
        <w:jc w:val="both"/>
        <w:rPr>
          <w:rFonts w:ascii="Arial" w:hAnsi="Arial" w:cs="Arial"/>
          <w:sz w:val="24"/>
        </w:rPr>
      </w:pPr>
      <w:r>
        <w:rPr>
          <w:rFonts w:cs="Arial" w:ascii="Arial" w:hAnsi="Arial"/>
          <w:sz w:val="24"/>
        </w:rPr>
      </w:r>
    </w:p>
    <w:p>
      <w:pPr>
        <w:pStyle w:val="BodyTextIndent"/>
        <w:jc w:val="both"/>
        <w:rPr>
          <w:rFonts w:ascii="Arial" w:hAnsi="Arial" w:cs="Arial"/>
          <w:sz w:val="24"/>
        </w:rPr>
      </w:pPr>
      <w:r>
        <w:rPr>
          <w:rFonts w:cs="Arial" w:ascii="Arial" w:hAnsi="Arial"/>
          <w:sz w:val="24"/>
        </w:rPr>
        <w:t>Acquisition Agreement dated September 14, 1999, among Hardy Exploration &amp; Production (India) Inc. and Enron International Mauritius Ltd. and Enron Oil &amp; Gas India Ltd. relating to Contract Area in India known as Block CB-OS/1.</w:t>
      </w:r>
    </w:p>
    <w:p>
      <w:pPr>
        <w:pStyle w:val="BodyTextIndent"/>
        <w:jc w:val="both"/>
        <w:rPr>
          <w:rFonts w:ascii="Arial" w:hAnsi="Arial" w:cs="Arial"/>
          <w:sz w:val="24"/>
        </w:rPr>
      </w:pPr>
      <w:r>
        <w:rPr>
          <w:rFonts w:cs="Arial" w:ascii="Arial" w:hAnsi="Arial"/>
          <w:sz w:val="24"/>
        </w:rPr>
      </w:r>
    </w:p>
    <w:p>
      <w:pPr>
        <w:pStyle w:val="BodyTextIndent"/>
        <w:jc w:val="both"/>
        <w:rPr>
          <w:rFonts w:ascii="Arial" w:hAnsi="Arial" w:cs="Arial"/>
          <w:sz w:val="24"/>
        </w:rPr>
      </w:pPr>
      <w:r>
        <w:rPr>
          <w:rFonts w:cs="Arial" w:ascii="Arial" w:hAnsi="Arial"/>
          <w:sz w:val="24"/>
        </w:rPr>
        <w:t>Operating Services Agreement dated September 14, 1999, between Hardy Exploration &amp; Production (India) Inc. and Enron Oil &amp; Gas India Ltd. relating to Contract Area in India known as Block CB-OS/1.</w:t>
      </w:r>
    </w:p>
    <w:p>
      <w:pPr>
        <w:pStyle w:val="BodyTextIndent"/>
        <w:jc w:val="both"/>
        <w:rPr>
          <w:rFonts w:ascii="Arial" w:hAnsi="Arial" w:cs="Arial"/>
          <w:sz w:val="24"/>
        </w:rPr>
      </w:pPr>
      <w:r>
        <w:rPr>
          <w:rFonts w:cs="Arial" w:ascii="Arial" w:hAnsi="Arial"/>
          <w:sz w:val="24"/>
        </w:rPr>
      </w:r>
    </w:p>
    <w:p>
      <w:pPr>
        <w:pStyle w:val="BodyTextIndent"/>
        <w:jc w:val="both"/>
        <w:rPr>
          <w:rFonts w:ascii="Arial" w:hAnsi="Arial" w:cs="Arial"/>
          <w:sz w:val="24"/>
        </w:rPr>
      </w:pPr>
      <w:r>
        <w:rPr>
          <w:rFonts w:cs="Arial" w:ascii="Arial" w:hAnsi="Arial"/>
          <w:sz w:val="24"/>
        </w:rPr>
        <w:t>Deed of Assignment and Assumption dated September 14, 1999, among Hardy Exploration &amp; Production (India) Inc. and Enron International Mauritius Ltd. and Enron Oil &amp; Gas India Ltd. relating to Contract Area in India known as Block CB-OS/1.</w:t>
      </w:r>
    </w:p>
    <w:p>
      <w:pPr>
        <w:pStyle w:val="BodyTextIndent"/>
        <w:jc w:val="both"/>
        <w:rPr>
          <w:rFonts w:ascii="Arial" w:hAnsi="Arial" w:cs="Arial"/>
          <w:sz w:val="24"/>
        </w:rPr>
      </w:pPr>
      <w:r>
        <w:rPr>
          <w:rFonts w:cs="Arial" w:ascii="Arial" w:hAnsi="Arial"/>
          <w:sz w:val="24"/>
        </w:rPr>
      </w:r>
    </w:p>
    <w:p>
      <w:pPr>
        <w:pStyle w:val="BodyTextIndent"/>
        <w:jc w:val="both"/>
        <w:rPr>
          <w:rFonts w:ascii="Arial" w:hAnsi="Arial" w:cs="Arial"/>
          <w:sz w:val="24"/>
        </w:rPr>
      </w:pPr>
      <w:r>
        <w:rPr>
          <w:rFonts w:cs="Arial" w:ascii="Arial" w:hAnsi="Arial"/>
          <w:sz w:val="24"/>
        </w:rPr>
        <w:t>Deed of Guarantee dated September 14, 1999, of EOGI - India, Inc., in favor of Hardy Exploration &amp; Production (India) Inc. and British-Borneo Limited in relation to Enron Oil &amp; Gas India Ltd.</w:t>
      </w:r>
    </w:p>
    <w:p>
      <w:pPr>
        <w:pStyle w:val="BodyTextIndent"/>
        <w:jc w:val="both"/>
        <w:rPr>
          <w:rFonts w:ascii="Arial" w:hAnsi="Arial" w:cs="Arial"/>
          <w:sz w:val="24"/>
        </w:rPr>
      </w:pPr>
      <w:r>
        <w:rPr>
          <w:rFonts w:cs="Arial" w:ascii="Arial" w:hAnsi="Arial"/>
          <w:sz w:val="24"/>
        </w:rPr>
      </w:r>
    </w:p>
    <w:p>
      <w:pPr>
        <w:pStyle w:val="BodyTextIndent"/>
        <w:jc w:val="both"/>
        <w:rPr>
          <w:rFonts w:ascii="Arial" w:hAnsi="Arial" w:cs="Arial"/>
          <w:sz w:val="24"/>
        </w:rPr>
      </w:pPr>
      <w:r>
        <w:rPr>
          <w:rFonts w:cs="Arial" w:ascii="Arial" w:hAnsi="Arial"/>
          <w:sz w:val="24"/>
        </w:rPr>
        <w:t>Deed of Guarantee dated September 14, 1999, of British-Borneo Ltd. in favor of Enron International Mauritius Ltd. and Enron Oil &amp; Gas India Ltd. in relation to Hardy Exploration &amp; Production (India) Inc.</w:t>
      </w:r>
    </w:p>
    <w:p>
      <w:pPr>
        <w:pStyle w:val="BodyTextIndent"/>
        <w:jc w:val="both"/>
        <w:rPr>
          <w:rFonts w:ascii="Arial" w:hAnsi="Arial" w:cs="Arial"/>
          <w:sz w:val="24"/>
        </w:rPr>
      </w:pPr>
      <w:r>
        <w:rPr>
          <w:rFonts w:cs="Arial" w:ascii="Arial" w:hAnsi="Arial"/>
          <w:sz w:val="24"/>
        </w:rPr>
      </w:r>
    </w:p>
    <w:p>
      <w:pPr>
        <w:pStyle w:val="BodyTextIndent"/>
        <w:jc w:val="both"/>
        <w:rPr>
          <w:rFonts w:ascii="Arial" w:hAnsi="Arial" w:cs="Arial"/>
          <w:sz w:val="24"/>
        </w:rPr>
      </w:pPr>
      <w:r>
        <w:rPr>
          <w:rFonts w:cs="Arial" w:ascii="Arial" w:hAnsi="Arial"/>
          <w:sz w:val="24"/>
        </w:rPr>
        <w:t>Deed of Guarantee dated September 14, 1999, of Atlantic Commercial Finance, Inc., in favor of Hardy Exploration &amp; Production (India) Inc. and British-Borneo Limited in relation to Enron International Mauritius Ltd., pursuant to Acquisition Agreement dated September 14, 1999, among Hardy Exploration &amp; Production (India) Inc., Enron International Mauritius Ltd., and Enron Oil &amp; Gas India Ltd., with respect to Block CB-OS/1 in India.</w:t>
      </w:r>
    </w:p>
    <w:p>
      <w:pPr>
        <w:pStyle w:val="BodyTextIndent"/>
        <w:jc w:val="both"/>
        <w:rPr>
          <w:rFonts w:ascii="Arial" w:hAnsi="Arial" w:cs="Arial"/>
          <w:sz w:val="24"/>
        </w:rPr>
      </w:pPr>
      <w:r>
        <w:rPr>
          <w:rFonts w:cs="Arial" w:ascii="Arial" w:hAnsi="Arial"/>
          <w:sz w:val="24"/>
        </w:rPr>
      </w:r>
    </w:p>
    <w:p>
      <w:pPr>
        <w:pStyle w:val="BodyTextIndent"/>
        <w:jc w:val="both"/>
        <w:rPr>
          <w:rFonts w:ascii="Arial" w:hAnsi="Arial" w:cs="Arial"/>
          <w:sz w:val="24"/>
        </w:rPr>
      </w:pPr>
      <w:r>
        <w:rPr>
          <w:rFonts w:cs="Arial" w:ascii="Arial" w:hAnsi="Arial"/>
          <w:sz w:val="24"/>
        </w:rPr>
        <w:t>Farm-in Agreement dated September 15, 1999, among Tata Petrodyne Limited and Enron International Mauritius Ltd. and Enron Oil &amp; Gas India Ltd. relating to Contract Areas known as Blocks CB-OS/1 and CY-OS/2.</w:t>
      </w:r>
    </w:p>
    <w:p>
      <w:pPr>
        <w:pStyle w:val="BodyTextIndent"/>
        <w:jc w:val="both"/>
        <w:rPr>
          <w:rFonts w:ascii="Arial" w:hAnsi="Arial" w:cs="Arial"/>
          <w:sz w:val="24"/>
        </w:rPr>
      </w:pPr>
      <w:r>
        <w:rPr>
          <w:rFonts w:cs="Arial" w:ascii="Arial" w:hAnsi="Arial"/>
          <w:sz w:val="24"/>
        </w:rPr>
      </w:r>
    </w:p>
    <w:p>
      <w:pPr>
        <w:pStyle w:val="BodyTextIndent"/>
        <w:jc w:val="both"/>
        <w:rPr>
          <w:rFonts w:ascii="Arial" w:hAnsi="Arial" w:cs="Arial"/>
          <w:sz w:val="24"/>
        </w:rPr>
      </w:pPr>
      <w:r>
        <w:rPr>
          <w:rFonts w:cs="Arial" w:ascii="Arial" w:hAnsi="Arial"/>
          <w:sz w:val="24"/>
        </w:rPr>
        <w:t>Payment Guaranty dated September 15, 1999, of EOGI - India, Inc., in favor of Tata Petrodyne Limited in relation to Enron Oil &amp; Gas India Ltd.</w:t>
      </w:r>
    </w:p>
    <w:p>
      <w:pPr>
        <w:pStyle w:val="BodyTextIndent"/>
        <w:jc w:val="both"/>
        <w:rPr>
          <w:rFonts w:ascii="Arial" w:hAnsi="Arial" w:cs="Arial"/>
          <w:sz w:val="24"/>
        </w:rPr>
      </w:pPr>
      <w:r>
        <w:rPr>
          <w:rFonts w:cs="Arial" w:ascii="Arial" w:hAnsi="Arial"/>
          <w:sz w:val="24"/>
        </w:rPr>
      </w:r>
    </w:p>
    <w:p>
      <w:pPr>
        <w:pStyle w:val="BodyTextIndent"/>
        <w:jc w:val="both"/>
        <w:rPr>
          <w:rFonts w:ascii="Arial" w:hAnsi="Arial" w:cs="Arial"/>
          <w:sz w:val="24"/>
        </w:rPr>
      </w:pPr>
      <w:r>
        <w:rPr>
          <w:rFonts w:cs="Arial" w:ascii="Arial" w:hAnsi="Arial"/>
          <w:sz w:val="24"/>
        </w:rPr>
        <w:t>Payment Guaranty dated September 15, 1999, of Tata Industries Limited in favor of Enron International Mauritius Ltd. and Enron Oil &amp; Gas India Ltd. in relation to Tata Petrodyne Limited.</w:t>
      </w:r>
    </w:p>
    <w:p>
      <w:pPr>
        <w:pStyle w:val="BodyTextIndent"/>
        <w:jc w:val="both"/>
        <w:rPr>
          <w:rFonts w:ascii="Arial" w:hAnsi="Arial" w:cs="Arial"/>
          <w:sz w:val="24"/>
        </w:rPr>
      </w:pPr>
      <w:r>
        <w:rPr>
          <w:rFonts w:cs="Arial" w:ascii="Arial" w:hAnsi="Arial"/>
          <w:sz w:val="24"/>
        </w:rPr>
      </w:r>
    </w:p>
    <w:p>
      <w:pPr>
        <w:pStyle w:val="BodyTextIndent"/>
        <w:jc w:val="both"/>
        <w:rPr>
          <w:rFonts w:ascii="Arial" w:hAnsi="Arial" w:cs="Arial"/>
          <w:sz w:val="24"/>
        </w:rPr>
      </w:pPr>
      <w:r>
        <w:rPr>
          <w:rFonts w:cs="Arial" w:ascii="Arial" w:hAnsi="Arial"/>
          <w:sz w:val="24"/>
        </w:rPr>
        <w:t>Deed of Assignment and Assumption dated September 15, 1999, among Tata Petrodyne Ltd. and Enron International Mauritius Ltd. and Enron Oil &amp; Gas India Ltd. relating to Block CB-OS/1.</w:t>
      </w:r>
    </w:p>
    <w:p>
      <w:pPr>
        <w:pStyle w:val="BodyTextIndent"/>
        <w:rPr>
          <w:rFonts w:ascii="Arial" w:hAnsi="Arial" w:cs="Arial"/>
          <w:sz w:val="24"/>
        </w:rPr>
      </w:pPr>
      <w:r>
        <w:rPr>
          <w:rFonts w:cs="Arial" w:ascii="Arial" w:hAnsi="Arial"/>
          <w:sz w:val="24"/>
        </w:rPr>
      </w:r>
    </w:p>
    <w:p>
      <w:pPr>
        <w:pStyle w:val="BodyTextIndent"/>
        <w:jc w:val="both"/>
        <w:rPr>
          <w:rFonts w:ascii="Arial" w:hAnsi="Arial" w:cs="Arial"/>
          <w:sz w:val="24"/>
        </w:rPr>
      </w:pPr>
      <w:r>
        <w:rPr>
          <w:rFonts w:cs="Arial" w:ascii="Arial" w:hAnsi="Arial"/>
          <w:sz w:val="24"/>
        </w:rPr>
        <w:t>Payment Guaranty dated September 15, 1999, of Atlantic Commercial Finance, Inc., in favor of Tata Petrodyne Limited in relation to Enron International Mauritius Ltd., pursuant to Farm-In Agreement dated September 15, 1999, among Tata Petrodyne Limited, Enron International Mauritius Ltd., and Enron Oil &amp; Gas India Ltd., with respect to Blocks CB-OS/1 and CY-OS/2 in India, as amended by Amendment No. 1 thereto.</w:t>
      </w:r>
    </w:p>
    <w:p>
      <w:pPr>
        <w:pStyle w:val="BodyTextIndent"/>
        <w:jc w:val="both"/>
        <w:rPr>
          <w:rFonts w:ascii="Arial" w:hAnsi="Arial" w:cs="Arial"/>
          <w:sz w:val="24"/>
        </w:rPr>
      </w:pPr>
      <w:r>
        <w:rPr>
          <w:rFonts w:cs="Arial" w:ascii="Arial" w:hAnsi="Arial"/>
          <w:sz w:val="24"/>
        </w:rPr>
      </w:r>
    </w:p>
    <w:p>
      <w:pPr>
        <w:pStyle w:val="BodyTextIndent"/>
        <w:jc w:val="both"/>
        <w:rPr>
          <w:rFonts w:ascii="Arial" w:hAnsi="Arial" w:cs="Arial"/>
          <w:sz w:val="24"/>
        </w:rPr>
      </w:pPr>
      <w:r>
        <w:rPr>
          <w:rFonts w:cs="Arial" w:ascii="Arial" w:hAnsi="Arial"/>
          <w:sz w:val="24"/>
        </w:rPr>
        <w:t>Amendment No. 1 to Farm-in Agreement dated October 22, 1999, among Tata Petrodyne Limited and Enron International Mauritius Ltd. and Enron Oil &amp; Gas India Ltd. relating to Contract Areas known as Blocks CB-OS/1 and CY-OS/2.</w:t>
      </w:r>
    </w:p>
    <w:p>
      <w:pPr>
        <w:pStyle w:val="BodyTextIndent"/>
        <w:jc w:val="both"/>
        <w:rPr>
          <w:rFonts w:ascii="Arial" w:hAnsi="Arial" w:cs="Arial"/>
          <w:sz w:val="24"/>
        </w:rPr>
      </w:pPr>
      <w:r>
        <w:rPr>
          <w:rFonts w:cs="Arial" w:ascii="Arial" w:hAnsi="Arial"/>
          <w:sz w:val="24"/>
        </w:rPr>
      </w:r>
    </w:p>
    <w:p>
      <w:pPr>
        <w:pStyle w:val="BodyTextIndent"/>
        <w:jc w:val="both"/>
        <w:rPr>
          <w:rFonts w:ascii="Arial" w:hAnsi="Arial" w:cs="Arial"/>
          <w:sz w:val="24"/>
        </w:rPr>
      </w:pPr>
      <w:r>
        <w:rPr>
          <w:rFonts w:cs="Arial" w:ascii="Arial" w:hAnsi="Arial"/>
          <w:sz w:val="24"/>
        </w:rPr>
        <w:t>Financial and Performance Guarantee dated February 3, 2000, of EOGI – India, Inc., in favor of the Government of India in relation to Enron Oil &amp; Gas India Ltd., with respect to Production Sharing Contract concerning Block CB-OS/1.</w:t>
      </w:r>
    </w:p>
    <w:p>
      <w:pPr>
        <w:pStyle w:val="BodyTextIndent"/>
        <w:jc w:val="both"/>
        <w:rPr>
          <w:rFonts w:ascii="Arial" w:hAnsi="Arial" w:cs="Arial"/>
          <w:sz w:val="24"/>
        </w:rPr>
      </w:pPr>
      <w:r>
        <w:rPr>
          <w:rFonts w:cs="Arial" w:ascii="Arial" w:hAnsi="Arial"/>
          <w:sz w:val="24"/>
        </w:rPr>
      </w:r>
    </w:p>
    <w:p>
      <w:pPr>
        <w:pStyle w:val="BodyTextIndent"/>
        <w:jc w:val="both"/>
        <w:rPr>
          <w:rFonts w:ascii="Arial" w:hAnsi="Arial" w:cs="Arial"/>
          <w:sz w:val="24"/>
        </w:rPr>
      </w:pPr>
      <w:r>
        <w:rPr>
          <w:rFonts w:cs="Arial" w:ascii="Arial" w:hAnsi="Arial"/>
          <w:sz w:val="24"/>
        </w:rPr>
        <w:t>Financial and Performance Guarantee dated February 3, 2000, of Enron India LLC in favor of the Government of India in relation to Enron International Mauritius Ltd., with respect to Production Sharing Contract concerning Block CB-OS/1.</w:t>
      </w:r>
    </w:p>
    <w:p>
      <w:pPr>
        <w:pStyle w:val="BodyTextIndent"/>
        <w:jc w:val="both"/>
        <w:rPr>
          <w:rFonts w:ascii="Arial" w:hAnsi="Arial" w:cs="Arial"/>
          <w:sz w:val="24"/>
        </w:rPr>
      </w:pPr>
      <w:r>
        <w:rPr>
          <w:rFonts w:cs="Arial" w:ascii="Arial" w:hAnsi="Arial"/>
          <w:sz w:val="24"/>
        </w:rPr>
      </w:r>
    </w:p>
    <w:p>
      <w:pPr>
        <w:pStyle w:val="BodyTextIndent"/>
        <w:keepNext w:val="true"/>
        <w:jc w:val="both"/>
        <w:rPr>
          <w:rFonts w:ascii="Arial" w:hAnsi="Arial" w:cs="Arial"/>
          <w:sz w:val="24"/>
        </w:rPr>
      </w:pPr>
      <w:r>
        <w:rPr>
          <w:rFonts w:cs="Arial" w:ascii="Arial" w:hAnsi="Arial"/>
          <w:b/>
          <w:i/>
          <w:sz w:val="24"/>
        </w:rPr>
        <w:t>[NOTE:</w:t>
      </w:r>
    </w:p>
    <w:p>
      <w:pPr>
        <w:pStyle w:val="BodyTextIndent"/>
        <w:keepNext w:val="true"/>
        <w:jc w:val="both"/>
        <w:rPr>
          <w:rFonts w:ascii="Arial" w:hAnsi="Arial" w:cs="Arial"/>
          <w:sz w:val="24"/>
        </w:rPr>
      </w:pPr>
      <w:r>
        <w:rPr>
          <w:rFonts w:cs="Arial" w:ascii="Arial" w:hAnsi="Arial"/>
          <w:sz w:val="24"/>
        </w:rPr>
      </w:r>
    </w:p>
    <w:p>
      <w:pPr>
        <w:pStyle w:val="Normal"/>
        <w:widowControl w:val="false"/>
        <w:tabs>
          <w:tab w:val="clear" w:pos="720"/>
          <w:tab w:val="left" w:pos="2160" w:leader="none"/>
        </w:tabs>
        <w:ind w:start="720" w:end="0"/>
        <w:jc w:val="both"/>
        <w:rPr/>
      </w:pPr>
      <w:r>
        <w:rPr>
          <w:rFonts w:cs="Arial" w:ascii="Arial" w:hAnsi="Arial"/>
          <w:sz w:val="24"/>
          <w:lang w:eastAsia="en-US"/>
        </w:rPr>
        <w:t>With respect to the interests in Block CB-OS/1 that it has acquired from Tata Petrodyne and from Hardy, and the assumption of operatorship in that block, Enron Oil &amp; Gas India Ltd. planned to commence in 2000 an exploratory drilling program on that block involving a minimum of three wells, plus a possible fourth, contingent well, to satisfy the remaining work requirement of Phase I of the Exploration Period under the related Production Sharing Contract (the expiration of which phase was previously extended from November 1999 to November 2000)</w:t>
      </w:r>
      <w:r>
        <w:rPr>
          <w:rFonts w:cs="Arial" w:ascii="Arial" w:hAnsi="Arial"/>
          <w:b/>
          <w:sz w:val="24"/>
          <w:lang w:eastAsia="en-US"/>
        </w:rPr>
        <w:t xml:space="preserve">.  </w:t>
      </w:r>
      <w:r>
        <w:rPr>
          <w:rFonts w:cs="Arial" w:ascii="Arial" w:hAnsi="Arial"/>
          <w:sz w:val="24"/>
          <w:lang w:eastAsia="en-US"/>
        </w:rPr>
        <w:t>The commencement of drilling has been delayed by the refusal of the Indian authorities to grant permits, based on their interpretation of certain environmental regulations that prohibit “mining” activities in a protected coastal zone where the proposed well sites are located.  Enron Oil &amp; Gas India Ltd. is reviewing the matter, and, with the approval of its coventurers in the block, has submitted an application to the Government of India to extend Phase I of the Exploration Period under the Production Sharing Contract for a period of one year, from November 2000 to November 2001,</w:t>
      </w:r>
      <w:r>
        <w:rPr>
          <w:rFonts w:cs="Arial" w:ascii="Arial" w:hAnsi="Arial"/>
          <w:b/>
          <w:sz w:val="24"/>
          <w:lang w:eastAsia="en-US"/>
        </w:rPr>
        <w:t xml:space="preserve"> </w:t>
      </w:r>
      <w:r>
        <w:rPr>
          <w:rFonts w:cs="Arial" w:ascii="Arial" w:hAnsi="Arial"/>
          <w:sz w:val="24"/>
          <w:lang w:eastAsia="en-US"/>
        </w:rPr>
        <w:t>so as to accommodate the additional time being taken to obtain the permits.  Senior officials of the Government, at the Ministry of Petroleum and Natural Gas, have orally advised representatives of Enron Oil &amp; Gas India Ltd. that such Ministry would grant the requested extension and would seek to get the Ministry of Environment and Forests to take action to enable Enron Oil &amp; Gas India Ltd. to drill at the desired locations.  If the Government does not take appropriate action, in the form of amending the applicable regulations and extending the exploration period, Enron Oil &amp; Gas India Ltd., on behalf of itself and its coventurers, plans to declare force majeure under the Production Sharing Contract so as to suspend its obligation to drill within the specified period.</w:t>
      </w:r>
      <w:r>
        <w:rPr>
          <w:rFonts w:cs="Arial" w:ascii="Arial" w:hAnsi="Arial"/>
          <w:b/>
          <w:sz w:val="24"/>
          <w:lang w:eastAsia="en-US"/>
        </w:rPr>
        <w:t>]</w:t>
      </w:r>
    </w:p>
    <w:p>
      <w:pPr>
        <w:pStyle w:val="BodyTextIndent"/>
        <w:jc w:val="both"/>
        <w:rPr>
          <w:rFonts w:ascii="Arial" w:hAnsi="Arial" w:cs="Arial"/>
          <w:b/>
          <w:sz w:val="24"/>
          <w:lang w:eastAsia="en-US"/>
        </w:rPr>
      </w:pPr>
      <w:r>
        <w:rPr>
          <w:rFonts w:cs="Arial" w:ascii="Arial" w:hAnsi="Arial"/>
          <w:b/>
          <w:sz w:val="24"/>
          <w:lang w:eastAsia="en-US"/>
        </w:rPr>
      </w:r>
    </w:p>
    <w:p>
      <w:pPr>
        <w:pStyle w:val="BodyTextIndent"/>
        <w:ind w:start="0" w:end="0"/>
        <w:jc w:val="both"/>
        <w:rPr>
          <w:rFonts w:ascii="Arial" w:hAnsi="Arial" w:cs="Arial"/>
          <w:b/>
          <w:sz w:val="24"/>
        </w:rPr>
      </w:pPr>
      <w:r>
        <w:rPr>
          <w:rFonts w:cs="Arial" w:ascii="Arial" w:hAnsi="Arial"/>
          <w:b/>
          <w:sz w:val="24"/>
        </w:rPr>
        <w:t>China</w:t>
      </w:r>
    </w:p>
    <w:p>
      <w:pPr>
        <w:pStyle w:val="BodyTextIndent"/>
        <w:ind w:start="0" w:end="0"/>
        <w:jc w:val="both"/>
        <w:rPr>
          <w:rFonts w:ascii="Arial" w:hAnsi="Arial" w:cs="Arial"/>
          <w:b/>
          <w:sz w:val="24"/>
        </w:rPr>
      </w:pPr>
      <w:r>
        <w:rPr>
          <w:rFonts w:cs="Arial" w:ascii="Arial" w:hAnsi="Arial"/>
          <w:b/>
          <w:sz w:val="24"/>
        </w:rPr>
      </w:r>
    </w:p>
    <w:p>
      <w:pPr>
        <w:pStyle w:val="BodyTextIndent"/>
        <w:jc w:val="both"/>
        <w:rPr>
          <w:rFonts w:ascii="Arial" w:hAnsi="Arial" w:cs="Arial"/>
          <w:sz w:val="24"/>
        </w:rPr>
      </w:pPr>
      <w:r>
        <w:rPr>
          <w:rFonts w:cs="Arial" w:ascii="Arial" w:hAnsi="Arial"/>
          <w:sz w:val="24"/>
        </w:rPr>
        <w:t>Petroleum Contract dated August 18, 1999, between China National Petroleum Corporation and Enron Oil &amp; Gas China Ltd. for Petroleum Development and Production of the Chuanzhong Block, Sichuan Basin, The People’s Republic of China.</w:t>
      </w:r>
    </w:p>
    <w:p>
      <w:pPr>
        <w:pStyle w:val="BodyTextIndent"/>
        <w:jc w:val="both"/>
        <w:rPr>
          <w:rFonts w:ascii="Arial" w:hAnsi="Arial" w:cs="Arial"/>
          <w:sz w:val="24"/>
        </w:rPr>
      </w:pPr>
      <w:r>
        <w:rPr>
          <w:rFonts w:cs="Arial" w:ascii="Arial" w:hAnsi="Arial"/>
          <w:sz w:val="24"/>
        </w:rPr>
      </w:r>
    </w:p>
    <w:p>
      <w:pPr>
        <w:pStyle w:val="BodyTextIndent"/>
        <w:jc w:val="both"/>
        <w:rPr>
          <w:rFonts w:ascii="Arial" w:hAnsi="Arial" w:cs="Arial"/>
          <w:sz w:val="24"/>
        </w:rPr>
      </w:pPr>
      <w:r>
        <w:rPr>
          <w:rFonts w:cs="Arial" w:ascii="Arial" w:hAnsi="Arial"/>
          <w:sz w:val="24"/>
        </w:rPr>
        <w:t>Crude Oil Sales Agreement dated April 3, 1998, between China National Petroleum Corporation and Enron Oil &amp; Gas China Ltd.</w:t>
      </w:r>
    </w:p>
    <w:p>
      <w:pPr>
        <w:pStyle w:val="BodyTextIndent"/>
        <w:jc w:val="both"/>
        <w:rPr>
          <w:rFonts w:ascii="Arial" w:hAnsi="Arial" w:cs="Arial"/>
          <w:sz w:val="24"/>
        </w:rPr>
      </w:pPr>
      <w:r>
        <w:rPr>
          <w:rFonts w:cs="Arial" w:ascii="Arial" w:hAnsi="Arial"/>
          <w:sz w:val="24"/>
        </w:rPr>
      </w:r>
    </w:p>
    <w:p>
      <w:pPr>
        <w:pStyle w:val="BodyTextIndent"/>
        <w:jc w:val="both"/>
        <w:rPr>
          <w:rFonts w:ascii="Arial" w:hAnsi="Arial" w:cs="Arial"/>
          <w:sz w:val="24"/>
        </w:rPr>
      </w:pPr>
      <w:r>
        <w:rPr>
          <w:rFonts w:cs="Arial" w:ascii="Arial" w:hAnsi="Arial"/>
          <w:sz w:val="24"/>
        </w:rPr>
        <w:t>Natural Gas Purchase and Sales Agreement dated July 20, 1999, between China National Petroleum Corporation and Enron Oil &amp; Gas China Ltd.</w:t>
      </w:r>
    </w:p>
    <w:p>
      <w:pPr>
        <w:pStyle w:val="BodyTextIndent"/>
        <w:jc w:val="both"/>
        <w:rPr>
          <w:rFonts w:ascii="Arial" w:hAnsi="Arial" w:cs="Arial"/>
          <w:sz w:val="24"/>
        </w:rPr>
      </w:pPr>
      <w:r>
        <w:rPr>
          <w:rFonts w:cs="Arial" w:ascii="Arial" w:hAnsi="Arial"/>
          <w:sz w:val="24"/>
        </w:rPr>
      </w:r>
    </w:p>
    <w:p>
      <w:pPr>
        <w:pStyle w:val="BodyTextIndent"/>
        <w:ind w:start="0" w:end="0"/>
        <w:jc w:val="both"/>
        <w:rPr>
          <w:rFonts w:ascii="Arial" w:hAnsi="Arial" w:cs="Arial"/>
          <w:b/>
          <w:sz w:val="24"/>
        </w:rPr>
      </w:pPr>
      <w:r>
        <w:rPr>
          <w:rFonts w:cs="Arial" w:ascii="Arial" w:hAnsi="Arial"/>
          <w:b/>
          <w:sz w:val="24"/>
        </w:rPr>
        <w:t>South Korea*</w:t>
      </w:r>
    </w:p>
    <w:p>
      <w:pPr>
        <w:pStyle w:val="BodyTextIndent"/>
        <w:ind w:start="0" w:end="0"/>
        <w:jc w:val="both"/>
        <w:rPr>
          <w:rFonts w:ascii="Arial" w:hAnsi="Arial" w:cs="Arial"/>
          <w:b/>
          <w:sz w:val="24"/>
        </w:rPr>
      </w:pPr>
      <w:r>
        <w:rPr>
          <w:rFonts w:cs="Arial" w:ascii="Arial" w:hAnsi="Arial"/>
          <w:b/>
          <w:sz w:val="24"/>
        </w:rPr>
      </w:r>
    </w:p>
    <w:p>
      <w:pPr>
        <w:pStyle w:val="BodyTextIndent"/>
        <w:jc w:val="both"/>
        <w:rPr>
          <w:rFonts w:ascii="Arial" w:hAnsi="Arial" w:cs="Arial"/>
          <w:sz w:val="24"/>
        </w:rPr>
      </w:pPr>
      <w:r>
        <w:rPr>
          <w:rFonts w:cs="Arial" w:ascii="Arial" w:hAnsi="Arial"/>
          <w:sz w:val="24"/>
        </w:rPr>
        <w:t>Letter of Intent dated April 17, 2000, between Korea National Oil Corporation and Enron Global Exploration &amp; Production Inc. regarding Offshore Block VI-1.  [being implemented through Enron Oil &amp; Gas Korea Ltd.]</w:t>
      </w:r>
    </w:p>
    <w:p>
      <w:pPr>
        <w:pStyle w:val="BodyTextIndent"/>
        <w:jc w:val="both"/>
        <w:rPr>
          <w:rFonts w:ascii="Arial" w:hAnsi="Arial" w:cs="Arial"/>
          <w:sz w:val="24"/>
        </w:rPr>
      </w:pPr>
      <w:r>
        <w:rPr>
          <w:rFonts w:cs="Arial" w:ascii="Arial" w:hAnsi="Arial"/>
          <w:sz w:val="24"/>
        </w:rPr>
      </w:r>
    </w:p>
    <w:p>
      <w:pPr>
        <w:pStyle w:val="BodyTextIndent"/>
        <w:jc w:val="both"/>
        <w:rPr>
          <w:rFonts w:ascii="Arial" w:hAnsi="Arial" w:cs="Arial"/>
          <w:sz w:val="24"/>
        </w:rPr>
      </w:pPr>
      <w:r>
        <w:rPr>
          <w:rFonts w:cs="Arial" w:ascii="Arial" w:hAnsi="Arial"/>
          <w:sz w:val="24"/>
        </w:rPr>
        <w:t>Participation Agreement between Korea National Oil Corporation and Enron Oil &amp; Gas Korea Ltd.  [Draft]</w:t>
      </w:r>
    </w:p>
    <w:p>
      <w:pPr>
        <w:pStyle w:val="BodyTextIndent"/>
        <w:jc w:val="both"/>
        <w:rPr>
          <w:rFonts w:ascii="Arial" w:hAnsi="Arial" w:cs="Arial"/>
          <w:sz w:val="24"/>
        </w:rPr>
      </w:pPr>
      <w:r>
        <w:rPr>
          <w:rFonts w:cs="Arial" w:ascii="Arial" w:hAnsi="Arial"/>
          <w:sz w:val="24"/>
        </w:rPr>
      </w:r>
    </w:p>
    <w:p>
      <w:pPr>
        <w:pStyle w:val="BodyTextIndent"/>
        <w:jc w:val="both"/>
        <w:rPr>
          <w:rFonts w:ascii="Arial" w:hAnsi="Arial" w:cs="Arial"/>
          <w:sz w:val="24"/>
        </w:rPr>
      </w:pPr>
      <w:r>
        <w:rPr>
          <w:rFonts w:cs="Arial" w:ascii="Arial" w:hAnsi="Arial"/>
          <w:sz w:val="24"/>
        </w:rPr>
        <w:t>Master Joint Operating Agreement between Korea National Oil Corporation and Enron Oil &amp; Gas Korea Ltd.  [Draft]</w:t>
      </w:r>
    </w:p>
    <w:p>
      <w:pPr>
        <w:pStyle w:val="BodyTextIndent"/>
        <w:jc w:val="both"/>
        <w:rPr>
          <w:rFonts w:ascii="Arial" w:hAnsi="Arial" w:cs="Arial"/>
          <w:sz w:val="24"/>
        </w:rPr>
      </w:pPr>
      <w:r>
        <w:rPr>
          <w:rFonts w:cs="Arial" w:ascii="Arial" w:hAnsi="Arial"/>
          <w:sz w:val="24"/>
        </w:rPr>
      </w:r>
    </w:p>
    <w:p>
      <w:pPr>
        <w:pStyle w:val="BodyTextIndent"/>
        <w:jc w:val="both"/>
        <w:rPr>
          <w:rFonts w:ascii="Arial" w:hAnsi="Arial" w:cs="Arial"/>
          <w:sz w:val="24"/>
        </w:rPr>
      </w:pPr>
      <w:r>
        <w:rPr>
          <w:rFonts w:cs="Arial" w:ascii="Arial" w:hAnsi="Arial"/>
          <w:sz w:val="24"/>
        </w:rPr>
        <w:t>*Drafts of the documents have been circulated.  Prospective closing mid-August 2000.</w:t>
      </w:r>
    </w:p>
    <w:p>
      <w:pPr>
        <w:pStyle w:val="BodyTextIndent"/>
        <w:jc w:val="both"/>
        <w:rPr>
          <w:rFonts w:ascii="Arial" w:hAnsi="Arial" w:cs="Arial"/>
          <w:sz w:val="24"/>
        </w:rPr>
      </w:pPr>
      <w:r>
        <w:rPr>
          <w:rFonts w:cs="Arial" w:ascii="Arial" w:hAnsi="Arial"/>
          <w:sz w:val="24"/>
        </w:rPr>
      </w:r>
    </w:p>
    <w:p>
      <w:pPr>
        <w:pStyle w:val="BodyTextIndent"/>
        <w:ind w:start="0" w:end="0"/>
        <w:jc w:val="both"/>
        <w:rPr>
          <w:rFonts w:ascii="Arial" w:hAnsi="Arial" w:cs="Arial"/>
          <w:b/>
          <w:sz w:val="24"/>
        </w:rPr>
      </w:pPr>
      <w:r>
        <w:rPr>
          <w:rFonts w:cs="Arial" w:ascii="Arial" w:hAnsi="Arial"/>
          <w:b/>
          <w:sz w:val="24"/>
        </w:rPr>
        <w:t>United States – Nebraska*</w:t>
      </w:r>
    </w:p>
    <w:p>
      <w:pPr>
        <w:pStyle w:val="BodyTextIndent"/>
        <w:ind w:start="0" w:end="0"/>
        <w:jc w:val="both"/>
        <w:rPr>
          <w:rFonts w:ascii="Arial" w:hAnsi="Arial" w:cs="Arial"/>
          <w:b/>
          <w:sz w:val="24"/>
        </w:rPr>
      </w:pPr>
      <w:r>
        <w:rPr>
          <w:rFonts w:cs="Arial" w:ascii="Arial" w:hAnsi="Arial"/>
          <w:b/>
          <w:sz w:val="24"/>
        </w:rPr>
      </w:r>
    </w:p>
    <w:p>
      <w:pPr>
        <w:pStyle w:val="BodyTextIndent"/>
        <w:jc w:val="both"/>
        <w:rPr>
          <w:rFonts w:ascii="Arial" w:hAnsi="Arial" w:cs="Arial"/>
          <w:sz w:val="24"/>
        </w:rPr>
      </w:pPr>
      <w:r>
        <w:rPr>
          <w:rFonts w:cs="Arial" w:ascii="Arial" w:hAnsi="Arial"/>
          <w:sz w:val="24"/>
        </w:rPr>
        <w:t>Memorandum of Understanding dated June 6, 2000, between Direct Detection Experts, L.L.C., and Enron Global Exploration &amp; Production Inc.  [being implemented through DJ Oil &amp; Gas Limited Liability Company]</w:t>
      </w:r>
    </w:p>
    <w:p>
      <w:pPr>
        <w:pStyle w:val="BodyTextIndent"/>
        <w:jc w:val="both"/>
        <w:rPr>
          <w:rFonts w:ascii="Arial" w:hAnsi="Arial" w:cs="Arial"/>
          <w:sz w:val="24"/>
        </w:rPr>
      </w:pPr>
      <w:r>
        <w:rPr>
          <w:rFonts w:cs="Arial" w:ascii="Arial" w:hAnsi="Arial"/>
          <w:sz w:val="24"/>
        </w:rPr>
      </w:r>
    </w:p>
    <w:p>
      <w:pPr>
        <w:pStyle w:val="BodyTextIndent"/>
        <w:jc w:val="both"/>
        <w:rPr>
          <w:rFonts w:ascii="Arial" w:hAnsi="Arial" w:cs="Arial"/>
          <w:sz w:val="24"/>
        </w:rPr>
      </w:pPr>
      <w:r>
        <w:rPr>
          <w:rFonts w:cs="Arial" w:ascii="Arial" w:hAnsi="Arial"/>
          <w:sz w:val="24"/>
        </w:rPr>
        <w:t>Participation Agreement between DJ Oil &amp; Gas Limited Liability Company and Direct Detection Experts, LLC.  [Draft]</w:t>
      </w:r>
    </w:p>
    <w:p>
      <w:pPr>
        <w:pStyle w:val="BodyTextIndent"/>
        <w:jc w:val="both"/>
        <w:rPr>
          <w:rFonts w:ascii="Arial" w:hAnsi="Arial" w:cs="Arial"/>
          <w:sz w:val="24"/>
        </w:rPr>
      </w:pPr>
      <w:r>
        <w:rPr>
          <w:rFonts w:cs="Arial" w:ascii="Arial" w:hAnsi="Arial"/>
          <w:sz w:val="24"/>
        </w:rPr>
      </w:r>
    </w:p>
    <w:p>
      <w:pPr>
        <w:pStyle w:val="BodyTextIndent"/>
        <w:jc w:val="both"/>
        <w:rPr>
          <w:rFonts w:ascii="Arial" w:hAnsi="Arial" w:cs="Arial"/>
          <w:sz w:val="24"/>
        </w:rPr>
      </w:pPr>
      <w:r>
        <w:rPr>
          <w:rFonts w:cs="Arial" w:ascii="Arial" w:hAnsi="Arial"/>
          <w:sz w:val="24"/>
        </w:rPr>
        <w:t>Area of Mutual Interest Agreement between DJ Oil &amp; Gas Limited Liability Company, Andex Resources, L.L.C., Roxanna Oil Company and Direct Detection Experts, L.L.C.  [Draft]</w:t>
      </w:r>
    </w:p>
    <w:p>
      <w:pPr>
        <w:pStyle w:val="BodyTextIndent"/>
        <w:jc w:val="both"/>
        <w:rPr>
          <w:rFonts w:ascii="Arial" w:hAnsi="Arial" w:cs="Arial"/>
          <w:sz w:val="24"/>
        </w:rPr>
      </w:pPr>
      <w:r>
        <w:rPr>
          <w:rFonts w:cs="Arial" w:ascii="Arial" w:hAnsi="Arial"/>
          <w:sz w:val="24"/>
        </w:rPr>
      </w:r>
    </w:p>
    <w:p>
      <w:pPr>
        <w:pStyle w:val="BodyTextIndent"/>
        <w:jc w:val="both"/>
        <w:rPr>
          <w:rFonts w:ascii="Arial" w:hAnsi="Arial" w:cs="Arial"/>
          <w:sz w:val="24"/>
        </w:rPr>
      </w:pPr>
      <w:r>
        <w:rPr>
          <w:rFonts w:cs="Arial" w:ascii="Arial" w:hAnsi="Arial"/>
          <w:sz w:val="24"/>
        </w:rPr>
        <w:t>Joint Operating Agreement between [DJ Oil &amp; Gas Limited Liability Company and Direct Detection Experts, LLC.]  [Draft]</w:t>
      </w:r>
    </w:p>
    <w:p>
      <w:pPr>
        <w:pStyle w:val="BodyTextIndent"/>
        <w:jc w:val="both"/>
        <w:rPr>
          <w:rFonts w:ascii="Arial" w:hAnsi="Arial" w:cs="Arial"/>
          <w:sz w:val="24"/>
        </w:rPr>
      </w:pPr>
      <w:r>
        <w:rPr>
          <w:rFonts w:cs="Arial" w:ascii="Arial" w:hAnsi="Arial"/>
          <w:sz w:val="24"/>
        </w:rPr>
      </w:r>
    </w:p>
    <w:p>
      <w:pPr>
        <w:pStyle w:val="BodyTextIndent"/>
        <w:jc w:val="both"/>
        <w:rPr>
          <w:rFonts w:ascii="Arial" w:hAnsi="Arial" w:cs="Arial"/>
          <w:sz w:val="24"/>
        </w:rPr>
      </w:pPr>
      <w:r>
        <w:rPr>
          <w:rFonts w:cs="Arial" w:ascii="Arial" w:hAnsi="Arial"/>
          <w:sz w:val="24"/>
        </w:rPr>
        <w:t>Conveyance of Overriding Royalty Interest between DJ Oil &amp; Gas Limited Liability Company and Direct Detection Experts, LLC.  [Draft]</w:t>
      </w:r>
    </w:p>
    <w:p>
      <w:pPr>
        <w:pStyle w:val="BodyTextIndent"/>
        <w:jc w:val="both"/>
        <w:rPr>
          <w:rFonts w:ascii="Arial" w:hAnsi="Arial" w:cs="Arial"/>
          <w:sz w:val="24"/>
        </w:rPr>
      </w:pPr>
      <w:r>
        <w:rPr>
          <w:rFonts w:cs="Arial" w:ascii="Arial" w:hAnsi="Arial"/>
          <w:sz w:val="24"/>
        </w:rPr>
      </w:r>
    </w:p>
    <w:p>
      <w:pPr>
        <w:pStyle w:val="BodyTextIndent"/>
        <w:jc w:val="both"/>
        <w:rPr>
          <w:rFonts w:ascii="Arial" w:hAnsi="Arial" w:cs="Arial"/>
          <w:sz w:val="24"/>
        </w:rPr>
      </w:pPr>
      <w:r>
        <w:rPr>
          <w:rFonts w:cs="Arial" w:ascii="Arial" w:hAnsi="Arial"/>
          <w:sz w:val="24"/>
        </w:rPr>
        <w:t>Guaranty Agreement of Enron Global Exploration &amp; Production Inc. in favor of Direct Detection Experts, LLC.  [Draft]</w:t>
      </w:r>
    </w:p>
    <w:p>
      <w:pPr>
        <w:pStyle w:val="BodyTextIndent"/>
        <w:jc w:val="both"/>
        <w:rPr>
          <w:rFonts w:ascii="Arial" w:hAnsi="Arial" w:cs="Arial"/>
          <w:sz w:val="24"/>
        </w:rPr>
      </w:pPr>
      <w:r>
        <w:rPr>
          <w:rFonts w:cs="Arial" w:ascii="Arial" w:hAnsi="Arial"/>
          <w:sz w:val="24"/>
        </w:rPr>
      </w:r>
    </w:p>
    <w:p>
      <w:pPr>
        <w:pStyle w:val="BodyTextIndent"/>
        <w:jc w:val="both"/>
        <w:rPr>
          <w:rFonts w:ascii="Arial" w:hAnsi="Arial" w:cs="Arial"/>
          <w:sz w:val="24"/>
        </w:rPr>
      </w:pPr>
      <w:r>
        <w:rPr>
          <w:rFonts w:cs="Arial" w:ascii="Arial" w:hAnsi="Arial"/>
          <w:sz w:val="24"/>
        </w:rPr>
        <w:t>*Drafts of the documents have been circulated.  Prospective closing week of August 1, 2000.</w:t>
      </w:r>
    </w:p>
    <w:p>
      <w:pPr>
        <w:sectPr>
          <w:headerReference w:type="default" r:id="rId16"/>
          <w:headerReference w:type="first" r:id="rId17"/>
          <w:footerReference w:type="default" r:id="rId18"/>
          <w:footerReference w:type="first" r:id="rId19"/>
          <w:footnotePr>
            <w:numFmt w:val="decimal"/>
          </w:footnotePr>
          <w:type w:val="nextPage"/>
          <w:pgSz w:w="12240" w:h="15840"/>
          <w:pgMar w:left="1800" w:right="1800" w:gutter="0" w:header="720" w:top="1440" w:footer="720" w:bottom="1440"/>
          <w:pgNumType w:fmt="decimal"/>
          <w:formProt w:val="false"/>
          <w:titlePg/>
          <w:textDirection w:val="lrTb"/>
          <w:docGrid w:type="default" w:linePitch="360" w:charSpace="0"/>
        </w:sectPr>
        <w:pStyle w:val="BodyTextIndent"/>
        <w:ind w:start="0" w:end="0"/>
        <w:rPr>
          <w:rFonts w:ascii="Arial" w:hAnsi="Arial" w:cs="Arial"/>
          <w:sz w:val="24"/>
        </w:rPr>
      </w:pPr>
      <w:r>
        <w:rPr>
          <w:rFonts w:cs="Arial" w:ascii="Arial" w:hAnsi="Arial"/>
          <w:sz w:val="24"/>
        </w:rPr>
      </w:r>
    </w:p>
    <w:p>
      <w:pPr>
        <w:pStyle w:val="Heading1"/>
        <w:ind w:hanging="0" w:start="0"/>
        <w:rPr/>
      </w:pPr>
      <w:r>
        <w:rPr/>
        <w:t>SCHEDULE 5.10(B)</w:t>
      </w:r>
    </w:p>
    <w:p>
      <w:pPr>
        <w:pStyle w:val="Heading1"/>
        <w:ind w:hanging="0" w:start="0"/>
        <w:rPr/>
      </w:pPr>
      <w:r>
        <w:rPr/>
      </w:r>
    </w:p>
    <w:p>
      <w:pPr>
        <w:pStyle w:val="Heading1"/>
        <w:ind w:hanging="0" w:start="0"/>
        <w:rPr/>
      </w:pPr>
      <w:r>
        <w:rPr/>
        <w:t>SIGNIFICANT SURETYSHIP ARRANGEMENTS</w:t>
      </w:r>
    </w:p>
    <w:p>
      <w:pPr>
        <w:pStyle w:val="Heading1"/>
        <w:ind w:hanging="0" w:start="0"/>
        <w:rPr/>
      </w:pPr>
      <w:r>
        <w:rPr/>
      </w:r>
    </w:p>
    <w:p>
      <w:pPr>
        <w:pStyle w:val="Heading1"/>
        <w:ind w:hanging="0" w:start="0"/>
        <w:rPr/>
      </w:pPr>
      <w:r>
        <w:rPr/>
        <w:t>EGEP</w:t>
      </w:r>
    </w:p>
    <w:p>
      <w:pPr>
        <w:pStyle w:val="Normal"/>
        <w:jc w:val="center"/>
        <w:rPr>
          <w:b/>
          <w:sz w:val="24"/>
        </w:rPr>
      </w:pPr>
      <w:r>
        <w:rPr>
          <w:b/>
          <w:sz w:val="24"/>
        </w:rPr>
      </w:r>
    </w:p>
    <w:p>
      <w:pPr>
        <w:pStyle w:val="Normal"/>
        <w:rPr>
          <w:b/>
          <w:i/>
          <w:i/>
          <w:sz w:val="24"/>
        </w:rPr>
      </w:pPr>
      <w:r>
        <w:rPr>
          <w:b/>
          <w:i/>
          <w:sz w:val="24"/>
        </w:rPr>
      </w:r>
    </w:p>
    <w:p>
      <w:pPr>
        <w:pStyle w:val="Normal"/>
        <w:rPr>
          <w:i/>
          <w:i/>
          <w:sz w:val="24"/>
        </w:rPr>
      </w:pPr>
      <w:r>
        <w:rPr>
          <w:i/>
          <w:sz w:val="24"/>
        </w:rPr>
      </w:r>
    </w:p>
    <w:p>
      <w:pPr>
        <w:pStyle w:val="BodyText"/>
        <w:numPr>
          <w:ilvl w:val="0"/>
          <w:numId w:val="6"/>
        </w:numPr>
        <w:rPr/>
      </w:pPr>
      <w:r>
        <w:rPr/>
        <w:t>Financial and Performance Guarantee dated December 22, 1994, of Enron Oil &amp; Gas International, Inc., in favor of Government of India relating to Production-Sharing Contract with respect to Mid and South Tapti Fields.</w:t>
      </w:r>
    </w:p>
    <w:p>
      <w:pPr>
        <w:pStyle w:val="Normal"/>
        <w:jc w:val="both"/>
        <w:rPr>
          <w:sz w:val="24"/>
        </w:rPr>
      </w:pPr>
      <w:r>
        <w:rPr>
          <w:sz w:val="24"/>
        </w:rPr>
      </w:r>
    </w:p>
    <w:p>
      <w:pPr>
        <w:pStyle w:val="BodyTextIndent"/>
        <w:jc w:val="both"/>
        <w:rPr>
          <w:sz w:val="24"/>
        </w:rPr>
      </w:pPr>
      <w:r>
        <w:rPr>
          <w:sz w:val="24"/>
        </w:rPr>
        <w:t>[In share-exchange transaction of August 1999 between Enron Corp. and Enron Oil &amp; Gas Company (now EOG Resources, Inc.), Enron Corp. committed to try to replace the foregoing, which was issued by a company that became part of the EOGR group of companies and ceased to be part of the Enron group of companies.  In January 2000, Enron submitted to the Government of India a draft guaranty of EOGI – India, Inc., as a proposed replacement; the Government has not yet responded to the request for replacement.  Pending acceptance by the Government of such replacement guaranty, Enron Corp. remains liable as indemnitor of EOGR under the ENE-EOG Share Exchange Agreement.]</w:t>
      </w:r>
    </w:p>
    <w:p>
      <w:pPr>
        <w:pStyle w:val="Normal"/>
        <w:ind w:start="720" w:end="0"/>
        <w:jc w:val="both"/>
        <w:rPr>
          <w:sz w:val="24"/>
        </w:rPr>
      </w:pPr>
      <w:r>
        <w:rPr>
          <w:sz w:val="24"/>
        </w:rPr>
      </w:r>
    </w:p>
    <w:p>
      <w:pPr>
        <w:pStyle w:val="BodyText"/>
        <w:numPr>
          <w:ilvl w:val="0"/>
          <w:numId w:val="6"/>
        </w:numPr>
        <w:rPr/>
      </w:pPr>
      <w:r>
        <w:rPr/>
        <w:t>Financial and Performance Guarantee dated December 22, 1994, of Enron Oil &amp; Gas International, Inc., in favor of Government of India relating to Production-Sharing Contract with respect to Panna and Mukta Fields.</w:t>
      </w:r>
    </w:p>
    <w:p>
      <w:pPr>
        <w:pStyle w:val="Normal"/>
        <w:jc w:val="both"/>
        <w:rPr>
          <w:sz w:val="24"/>
        </w:rPr>
      </w:pPr>
      <w:r>
        <w:rPr>
          <w:sz w:val="24"/>
        </w:rPr>
      </w:r>
    </w:p>
    <w:p>
      <w:pPr>
        <w:pStyle w:val="BodyText"/>
        <w:ind w:start="720" w:end="0"/>
        <w:rPr/>
      </w:pPr>
      <w:r>
        <w:rPr/>
        <w:t>[In share-exchange transaction of August 1999 between Enron Corp. and Enron Oil &amp; Gas Company (now EOG Resources, Inc.), Enron Corp. committed to try to replace the foregoing, which was issued by a company that became part of the EOGR group of companies and ceased to be part of the Enron group of companies.  In January 2000, Enron submitted to the Government of India a draft guaranty of EOGI – India, Inc., as a proposed replacement; the Government has not yet responded to the request for replacement.  Pending acceptance by the Government of such replacement guaranty, Enron Corp. remains liable as indemnitor of EOGR under the ENE-EOG Share Exchange Agreement.]</w:t>
      </w:r>
    </w:p>
    <w:p>
      <w:pPr>
        <w:sectPr>
          <w:headerReference w:type="default" r:id="rId20"/>
          <w:headerReference w:type="first" r:id="rId21"/>
          <w:footerReference w:type="default" r:id="rId22"/>
          <w:footerReference w:type="first" r:id="rId23"/>
          <w:footnotePr>
            <w:numFmt w:val="decimal"/>
          </w:footnotePr>
          <w:type w:val="nextPage"/>
          <w:pgSz w:w="12240" w:h="15840"/>
          <w:pgMar w:left="1800" w:right="1800" w:gutter="0" w:header="720" w:top="1440" w:footer="720" w:bottom="1440"/>
          <w:pgNumType w:fmt="decimal"/>
          <w:formProt w:val="false"/>
          <w:titlePg/>
          <w:textDirection w:val="lrTb"/>
          <w:docGrid w:type="default" w:linePitch="360" w:charSpace="0"/>
        </w:sectPr>
        <w:pStyle w:val="BodyText"/>
        <w:ind w:start="720" w:end="0"/>
        <w:rPr/>
      </w:pPr>
      <w:r>
        <w:rPr/>
      </w:r>
    </w:p>
    <w:p>
      <w:pPr>
        <w:pStyle w:val="Heading1"/>
        <w:ind w:hanging="0" w:start="0"/>
        <w:rPr/>
      </w:pPr>
      <w:r>
        <w:rPr/>
        <w:t>SCHEDULE 5.13</w:t>
      </w:r>
    </w:p>
    <w:p>
      <w:pPr>
        <w:pStyle w:val="Heading1"/>
        <w:ind w:hanging="0" w:start="0"/>
        <w:rPr/>
      </w:pPr>
      <w:r>
        <w:rPr/>
      </w:r>
    </w:p>
    <w:p>
      <w:pPr>
        <w:pStyle w:val="Heading1"/>
        <w:ind w:hanging="0" w:start="0"/>
        <w:rPr/>
      </w:pPr>
      <w:r>
        <w:rPr/>
        <w:t>MATERIAL LITIGATION OF EGEP GROUP OF COMPANIES</w:t>
      </w:r>
    </w:p>
    <w:p>
      <w:pPr>
        <w:pStyle w:val="Heading1"/>
        <w:ind w:hanging="0" w:start="0"/>
        <w:rPr/>
      </w:pPr>
      <w:r>
        <w:rPr/>
      </w:r>
    </w:p>
    <w:p>
      <w:pPr>
        <w:pStyle w:val="Normal"/>
        <w:jc w:val="both"/>
        <w:rPr>
          <w:i/>
          <w:i/>
          <w:sz w:val="24"/>
        </w:rPr>
      </w:pPr>
      <w:r>
        <w:rPr>
          <w:i/>
          <w:sz w:val="24"/>
        </w:rPr>
      </w:r>
    </w:p>
    <w:p>
      <w:pPr>
        <w:pStyle w:val="Normal"/>
        <w:jc w:val="both"/>
        <w:rPr>
          <w:i/>
          <w:i/>
          <w:sz w:val="24"/>
        </w:rPr>
      </w:pPr>
      <w:r>
        <w:rPr>
          <w:i/>
          <w:sz w:val="24"/>
        </w:rPr>
      </w:r>
    </w:p>
    <w:p>
      <w:pPr>
        <w:pStyle w:val="BodyText"/>
        <w:numPr>
          <w:ilvl w:val="0"/>
          <w:numId w:val="3"/>
        </w:numPr>
        <w:rPr/>
      </w:pPr>
      <w:r>
        <w:rPr/>
        <w:t>Centre for Public Interest Litigation et al. v. The Union of India, Enron Oil &amp; Gas India Ltd., et al., Supreme Court of India (Civil Appellate Jurisdiction), Civil Appeal No. 2485 of 1999  [challenge of production-sharing contract for Panna-Mukta]</w:t>
      </w:r>
    </w:p>
    <w:p>
      <w:pPr>
        <w:pStyle w:val="Normal"/>
        <w:jc w:val="both"/>
        <w:rPr>
          <w:sz w:val="24"/>
        </w:rPr>
      </w:pPr>
      <w:r>
        <w:rPr>
          <w:sz w:val="24"/>
        </w:rPr>
      </w:r>
    </w:p>
    <w:p>
      <w:pPr>
        <w:pStyle w:val="Normal"/>
        <w:numPr>
          <w:ilvl w:val="0"/>
          <w:numId w:val="3"/>
        </w:numPr>
        <w:jc w:val="both"/>
        <w:rPr>
          <w:sz w:val="24"/>
        </w:rPr>
      </w:pPr>
      <w:r>
        <w:rPr>
          <w:sz w:val="24"/>
        </w:rPr>
        <w:t>B.L. Wadehra v. The Union of India, Enron Oil &amp; Gas India Ltd., et al., High Court of New Delhi, Civil Writ Petition No. 335 of 1997 [challenge of production-sharing contract for Panna-Mukta</w:t>
      </w:r>
      <w:r>
        <w:rPr/>
        <w:t>]</w:t>
      </w:r>
    </w:p>
    <w:p>
      <w:pPr>
        <w:pStyle w:val="Normal"/>
        <w:jc w:val="both"/>
        <w:rPr>
          <w:sz w:val="24"/>
        </w:rPr>
      </w:pPr>
      <w:r>
        <w:rPr>
          <w:sz w:val="24"/>
        </w:rPr>
      </w:r>
    </w:p>
    <w:p>
      <w:pPr>
        <w:pStyle w:val="Normal"/>
        <w:numPr>
          <w:ilvl w:val="0"/>
          <w:numId w:val="3"/>
        </w:numPr>
        <w:jc w:val="both"/>
        <w:rPr>
          <w:sz w:val="24"/>
        </w:rPr>
      </w:pPr>
      <w:r>
        <w:rPr>
          <w:sz w:val="24"/>
        </w:rPr>
        <w:t>Enron Oil &amp; Gas India Ltd. v. The Union of India et al., Writ Petition No. 524 of 1997, High Court of Bombay; Enron Oil &amp; Gas India Ltd. v. The Union of India et al., Writ Petition No. 1234 of 1997, High Court of Bombay. [related cases concerning customs matters]</w:t>
      </w:r>
    </w:p>
    <w:p>
      <w:pPr>
        <w:pStyle w:val="Normal"/>
        <w:jc w:val="both"/>
        <w:rPr>
          <w:sz w:val="24"/>
        </w:rPr>
      </w:pPr>
      <w:r>
        <w:rPr>
          <w:sz w:val="24"/>
        </w:rPr>
      </w:r>
    </w:p>
    <w:p>
      <w:pPr>
        <w:pStyle w:val="Normal"/>
        <w:numPr>
          <w:ilvl w:val="0"/>
          <w:numId w:val="3"/>
        </w:numPr>
        <w:jc w:val="both"/>
        <w:rPr>
          <w:sz w:val="24"/>
        </w:rPr>
      </w:pPr>
      <w:r>
        <w:rPr>
          <w:sz w:val="24"/>
        </w:rPr>
        <w:t>Show-Cause Notice dated July 8, 1999, under Section 124 of Indian Customs Act, 1962, issued by Special Intelligence &amp; Investigations Branch (Import), Customs Office, Bombay, India, addressed to Enron Oil &amp; Gas India Ltd. et al.; appeal pending sub nom. Enron Oil &amp; Gas India Ltd. v. Commissioner of Customs (Import), before the Customs, Excise &amp; Gold Control Appellate Tribunal, Western Region Bench, Appeal No. C/279/2000-MUM [customs matters]</w:t>
      </w:r>
    </w:p>
    <w:p>
      <w:pPr>
        <w:pStyle w:val="Normal"/>
        <w:jc w:val="both"/>
        <w:rPr>
          <w:sz w:val="24"/>
        </w:rPr>
      </w:pPr>
      <w:r>
        <w:rPr>
          <w:sz w:val="24"/>
        </w:rPr>
      </w:r>
    </w:p>
    <w:p>
      <w:pPr>
        <w:pStyle w:val="Normal"/>
        <w:numPr>
          <w:ilvl w:val="0"/>
          <w:numId w:val="3"/>
        </w:numPr>
        <w:jc w:val="both"/>
        <w:rPr>
          <w:sz w:val="24"/>
        </w:rPr>
      </w:pPr>
      <w:r>
        <w:rPr>
          <w:sz w:val="24"/>
        </w:rPr>
        <w:t>Arbitration Notice dated July 29, 2000 between Enron Oil &amp; Gas India Limited, as claimant, and Reliance Industries Limited and Oil &amp; Natural Gas Corporation Limited, as respondents [matters relating to Joint Operating Agreement on the Panna-Muktai Fields]</w:t>
      </w:r>
    </w:p>
    <w:p>
      <w:pPr>
        <w:pStyle w:val="Normal"/>
        <w:jc w:val="both"/>
        <w:rPr>
          <w:sz w:val="24"/>
        </w:rPr>
      </w:pPr>
      <w:r>
        <w:rPr>
          <w:sz w:val="24"/>
        </w:rPr>
      </w:r>
    </w:p>
    <w:p>
      <w:pPr>
        <w:pStyle w:val="Normal"/>
        <w:numPr>
          <w:ilvl w:val="0"/>
          <w:numId w:val="3"/>
        </w:numPr>
        <w:jc w:val="both"/>
        <w:rPr>
          <w:sz w:val="24"/>
        </w:rPr>
      </w:pPr>
      <w:r>
        <w:rPr>
          <w:sz w:val="24"/>
        </w:rPr>
        <w:t>Arbitration Notice dated July 29, 2000 between Enron Oil &amp; Gas India Limited, as claimant, and Reliance Industries Limited and Oil &amp; Natural Gas Corporation Limited, as respondents [matters relating to Joint Operating Agreement on the Tapti Fields]</w:t>
      </w:r>
    </w:p>
    <w:p>
      <w:pPr>
        <w:pStyle w:val="Normal"/>
        <w:jc w:val="both"/>
        <w:rPr>
          <w:sz w:val="24"/>
        </w:rPr>
      </w:pPr>
      <w:r>
        <w:rPr>
          <w:sz w:val="24"/>
        </w:rPr>
      </w:r>
    </w:p>
    <w:p>
      <w:pPr>
        <w:pStyle w:val="Normal"/>
        <w:numPr>
          <w:ilvl w:val="0"/>
          <w:numId w:val="3"/>
        </w:numPr>
        <w:jc w:val="both"/>
        <w:rPr>
          <w:sz w:val="24"/>
        </w:rPr>
      </w:pPr>
      <w:r>
        <w:rPr>
          <w:sz w:val="24"/>
        </w:rPr>
        <w:t>Enron Oil &amp; Gas India Ltd. is contemplating the commencement of arbitrations against the Government of India and/or Reliance Industries Limited and/or Oil &amp; Natural Gas Corporation Limited under the Tapti and Panna-Mukta Production Sharing Contracts with respect to certain of the items listed below.  Enron Oil &amp; Gas India Ltd. could commence such arbitrations as early as the later part of August 2000.  The institution of such arbitral proceedings could lead to the assertion of counterclaims against Enron Oil &amp; Gas India Ltd. by the Government and/or Reliance Industries Limited and/or Oil &amp; Natural Gas Corporation Limited.</w:t>
      </w:r>
    </w:p>
    <w:p>
      <w:pPr>
        <w:pStyle w:val="Normal"/>
        <w:jc w:val="both"/>
        <w:rPr>
          <w:sz w:val="24"/>
        </w:rPr>
      </w:pPr>
      <w:r>
        <w:rPr>
          <w:sz w:val="24"/>
        </w:rPr>
      </w:r>
    </w:p>
    <w:p>
      <w:pPr>
        <w:pStyle w:val="Normal"/>
        <w:ind w:start="720" w:end="0"/>
        <w:jc w:val="both"/>
        <w:rPr>
          <w:sz w:val="24"/>
        </w:rPr>
      </w:pPr>
      <w:r>
        <w:rPr>
          <w:sz w:val="24"/>
        </w:rPr>
        <w:t>As between Enron Oil &amp; Gas India Ltd. (and, in some cases, Reliance Industries Limited), on the one hand, and the Government of India (and/or Oil &amp; Natural Gas Corporation Limited or other government entities), on the other hand:</w:t>
      </w:r>
    </w:p>
    <w:p>
      <w:pPr>
        <w:pStyle w:val="BodyTextIndent"/>
        <w:jc w:val="both"/>
        <w:rPr>
          <w:rFonts w:ascii="Arial" w:hAnsi="Arial" w:cs="Arial"/>
          <w:sz w:val="24"/>
        </w:rPr>
      </w:pPr>
      <w:r>
        <w:rPr>
          <w:rFonts w:cs="Arial" w:ascii="Arial" w:hAnsi="Arial"/>
          <w:sz w:val="24"/>
        </w:rPr>
      </w:r>
    </w:p>
    <w:p>
      <w:pPr>
        <w:pStyle w:val="BodyTextIndent"/>
        <w:numPr>
          <w:ilvl w:val="0"/>
          <w:numId w:val="4"/>
        </w:numPr>
        <w:jc w:val="both"/>
        <w:rPr>
          <w:sz w:val="24"/>
        </w:rPr>
      </w:pPr>
      <w:r>
        <w:rPr>
          <w:sz w:val="24"/>
        </w:rPr>
        <w:t>Inability of the parties to agree on the interpretation of the Panna-Mukta Production Sharing Contract on the subject of “Delivery Point” for crude oil, and corresponding inability of the parties to agree on who should bear the cost of a crude-oil storage tanker used in the operation of the field;</w:t>
      </w:r>
    </w:p>
    <w:p>
      <w:pPr>
        <w:pStyle w:val="BodyTextIndent"/>
        <w:jc w:val="both"/>
        <w:rPr>
          <w:sz w:val="24"/>
        </w:rPr>
      </w:pPr>
      <w:r>
        <w:rPr>
          <w:sz w:val="24"/>
        </w:rPr>
      </w:r>
    </w:p>
    <w:p>
      <w:pPr>
        <w:pStyle w:val="BodyTextIndent"/>
        <w:numPr>
          <w:ilvl w:val="0"/>
          <w:numId w:val="4"/>
        </w:numPr>
        <w:jc w:val="both"/>
        <w:rPr>
          <w:sz w:val="24"/>
        </w:rPr>
      </w:pPr>
      <w:r>
        <w:rPr>
          <w:sz w:val="24"/>
        </w:rPr>
        <w:t>Inability of the parties to agree on the interpretation of the Panna-Mukta Production Sharing Contract on the subject of “Delivery Point” for natural gas, and the corresponding failure of the parties to agree on who should bear the costs of transportation and shrinkage of the gas from the offshore location to the land-fall point, and an interim deduction by Gas Authority of India Limited, the Government’s nominee gas purchaser, from the payments to the sellers (Enron Oil &amp; Gas India Ltd., Reliance Industries Limited, and Oil &amp; Natural Gas Corporation Limited) for gas from Panna;</w:t>
      </w:r>
    </w:p>
    <w:p>
      <w:pPr>
        <w:pStyle w:val="BodyTextIndent"/>
        <w:jc w:val="both"/>
        <w:rPr>
          <w:sz w:val="24"/>
        </w:rPr>
      </w:pPr>
      <w:r>
        <w:rPr>
          <w:sz w:val="24"/>
        </w:rPr>
      </w:r>
    </w:p>
    <w:p>
      <w:pPr>
        <w:pStyle w:val="BodyTextIndent"/>
        <w:numPr>
          <w:ilvl w:val="0"/>
          <w:numId w:val="4"/>
        </w:numPr>
        <w:jc w:val="both"/>
        <w:rPr>
          <w:sz w:val="24"/>
        </w:rPr>
      </w:pPr>
      <w:r>
        <w:rPr>
          <w:sz w:val="24"/>
        </w:rPr>
        <w:t>Failure of Indian Oil Corporation Limited, as the Government’s nominee to buy Panna crude-oil production, to pay fully for certain deliveries of crude oil, and its failure to pay related interest on late and inadequate payments;</w:t>
      </w:r>
    </w:p>
    <w:p>
      <w:pPr>
        <w:pStyle w:val="BodyTextIndent"/>
        <w:jc w:val="both"/>
        <w:rPr>
          <w:sz w:val="24"/>
        </w:rPr>
      </w:pPr>
      <w:r>
        <w:rPr>
          <w:sz w:val="24"/>
        </w:rPr>
      </w:r>
    </w:p>
    <w:p>
      <w:pPr>
        <w:pStyle w:val="BodyTextIndent"/>
        <w:numPr>
          <w:ilvl w:val="0"/>
          <w:numId w:val="4"/>
        </w:numPr>
        <w:jc w:val="both"/>
        <w:rPr>
          <w:sz w:val="24"/>
        </w:rPr>
      </w:pPr>
      <w:r>
        <w:rPr>
          <w:sz w:val="24"/>
        </w:rPr>
        <w:t>Allegations by the Government that the Contractor group (Enron Oil &amp; Gas India Ltd., Reliance Industries Limited, and Oil &amp; Natural Gas Corporation Limited) was late in paying royalty at the beginning of the project, and thus owes certain penalties and interest relating thereto; and</w:t>
      </w:r>
    </w:p>
    <w:p>
      <w:pPr>
        <w:pStyle w:val="BodyTextIndent"/>
        <w:jc w:val="both"/>
        <w:rPr>
          <w:sz w:val="24"/>
        </w:rPr>
      </w:pPr>
      <w:r>
        <w:rPr>
          <w:sz w:val="24"/>
        </w:rPr>
      </w:r>
    </w:p>
    <w:p>
      <w:pPr>
        <w:pStyle w:val="BodyTextIndent"/>
        <w:numPr>
          <w:ilvl w:val="0"/>
          <w:numId w:val="4"/>
        </w:numPr>
        <w:jc w:val="both"/>
        <w:rPr>
          <w:sz w:val="24"/>
        </w:rPr>
      </w:pPr>
      <w:r>
        <w:rPr>
          <w:sz w:val="24"/>
        </w:rPr>
        <w:t>Requirement by the Government that Enron Oil &amp; Gas India Ltd. post certain corporate undertakings (“bonds”) in lieu of paying customs duties on certain imported goods and equipment (which, per the Production Sharing Contracts, may be imported duty-free), and the continued failure of the Government to acknowledge the effect of the Production Sharing Contracts and release such bonds.</w:t>
      </w:r>
    </w:p>
    <w:p>
      <w:pPr>
        <w:pStyle w:val="BodyTextIndent"/>
        <w:jc w:val="both"/>
        <w:rPr>
          <w:sz w:val="24"/>
        </w:rPr>
      </w:pPr>
      <w:r>
        <w:rPr>
          <w:sz w:val="24"/>
        </w:rPr>
      </w:r>
    </w:p>
    <w:p>
      <w:pPr>
        <w:sectPr>
          <w:headerReference w:type="default" r:id="rId24"/>
          <w:headerReference w:type="first" r:id="rId25"/>
          <w:footerReference w:type="default" r:id="rId26"/>
          <w:footerReference w:type="first" r:id="rId27"/>
          <w:footnotePr>
            <w:numFmt w:val="decimal"/>
          </w:footnotePr>
          <w:type w:val="nextPage"/>
          <w:pgSz w:w="12240" w:h="15840"/>
          <w:pgMar w:left="1800" w:right="1800" w:gutter="0" w:header="720" w:top="1440" w:footer="720" w:bottom="1440"/>
          <w:pgNumType w:fmt="decimal"/>
          <w:formProt w:val="false"/>
          <w:textDirection w:val="lrTb"/>
          <w:docGrid w:type="default" w:linePitch="360" w:charSpace="0"/>
        </w:sectPr>
        <w:pStyle w:val="Normal"/>
        <w:rPr>
          <w:sz w:val="24"/>
        </w:rPr>
      </w:pPr>
      <w:r>
        <w:rPr>
          <w:sz w:val="24"/>
        </w:rPr>
      </w:r>
    </w:p>
    <w:p>
      <w:pPr>
        <w:pStyle w:val="Heading"/>
        <w:rPr/>
      </w:pPr>
      <w:r>
        <w:rPr/>
        <w:t>SCHEDULE 7.02(b)</w:t>
      </w:r>
    </w:p>
    <w:p>
      <w:pPr>
        <w:pStyle w:val="Normal"/>
        <w:jc w:val="center"/>
        <w:rPr>
          <w:b/>
          <w:sz w:val="24"/>
        </w:rPr>
      </w:pPr>
      <w:r>
        <w:rPr>
          <w:b/>
          <w:sz w:val="24"/>
        </w:rPr>
      </w:r>
    </w:p>
    <w:p>
      <w:pPr>
        <w:pStyle w:val="Normal"/>
        <w:jc w:val="center"/>
        <w:rPr>
          <w:rFonts w:ascii="Arial" w:hAnsi="Arial" w:cs="Arial"/>
          <w:b/>
          <w:sz w:val="24"/>
        </w:rPr>
      </w:pPr>
      <w:r>
        <w:rPr>
          <w:rFonts w:cs="Arial" w:ascii="Arial" w:hAnsi="Arial"/>
          <w:b/>
          <w:sz w:val="24"/>
        </w:rPr>
        <w:t>OPERATION OF THE BUSINESS</w:t>
      </w:r>
    </w:p>
    <w:p>
      <w:pPr>
        <w:pStyle w:val="Normal"/>
        <w:jc w:val="both"/>
        <w:rPr>
          <w:rFonts w:ascii="Arial" w:hAnsi="Arial" w:cs="Arial"/>
          <w:b/>
          <w:sz w:val="24"/>
        </w:rPr>
      </w:pPr>
      <w:r>
        <w:rPr>
          <w:rFonts w:cs="Arial" w:ascii="Arial" w:hAnsi="Arial"/>
          <w:b/>
          <w:sz w:val="24"/>
        </w:rPr>
      </w:r>
    </w:p>
    <w:p>
      <w:pPr>
        <w:pStyle w:val="Normal"/>
        <w:jc w:val="both"/>
        <w:rPr>
          <w:b/>
          <w:sz w:val="24"/>
        </w:rPr>
      </w:pPr>
      <w:r>
        <w:rPr>
          <w:b/>
          <w:sz w:val="24"/>
        </w:rPr>
        <w:t>[South Korea</w:t>
      </w:r>
    </w:p>
    <w:p>
      <w:pPr>
        <w:pStyle w:val="Normal"/>
        <w:jc w:val="both"/>
        <w:rPr>
          <w:b/>
          <w:sz w:val="24"/>
        </w:rPr>
      </w:pPr>
      <w:r>
        <w:rPr>
          <w:b/>
          <w:sz w:val="24"/>
        </w:rPr>
      </w:r>
    </w:p>
    <w:p>
      <w:pPr>
        <w:pStyle w:val="Normal"/>
        <w:ind w:start="720" w:end="0"/>
        <w:jc w:val="both"/>
        <w:rPr>
          <w:sz w:val="24"/>
        </w:rPr>
      </w:pPr>
      <w:r>
        <w:rPr>
          <w:sz w:val="24"/>
        </w:rPr>
        <w:t>Letter of Intent dated April 17, 2000, between Korea National Oil Corporation and Enron Global Exploration &amp; Production Inc. regarding Offshore Block VI-1.  [being implemented through Enron Oil &amp; Gas Korea Ltd.]]</w:t>
      </w:r>
    </w:p>
    <w:p>
      <w:pPr>
        <w:pStyle w:val="Normal"/>
        <w:ind w:start="720" w:end="0"/>
        <w:jc w:val="both"/>
        <w:rPr>
          <w:sz w:val="24"/>
        </w:rPr>
      </w:pPr>
      <w:r>
        <w:rPr>
          <w:sz w:val="24"/>
        </w:rPr>
      </w:r>
    </w:p>
    <w:p>
      <w:pPr>
        <w:pStyle w:val="Normal"/>
        <w:jc w:val="both"/>
        <w:rPr>
          <w:sz w:val="24"/>
        </w:rPr>
      </w:pPr>
      <w:r>
        <w:rPr>
          <w:b/>
          <w:sz w:val="24"/>
        </w:rPr>
        <w:t>[United States - Nebraska</w:t>
      </w:r>
    </w:p>
    <w:p>
      <w:pPr>
        <w:pStyle w:val="Normal"/>
        <w:jc w:val="both"/>
        <w:rPr>
          <w:sz w:val="24"/>
        </w:rPr>
      </w:pPr>
      <w:r>
        <w:rPr>
          <w:sz w:val="24"/>
        </w:rPr>
      </w:r>
    </w:p>
    <w:p>
      <w:pPr>
        <w:pStyle w:val="Normal"/>
        <w:ind w:start="720" w:end="0"/>
        <w:jc w:val="both"/>
        <w:rPr>
          <w:sz w:val="24"/>
        </w:rPr>
      </w:pPr>
      <w:r>
        <w:rPr>
          <w:sz w:val="24"/>
        </w:rPr>
        <w:t>Memorandum of Understanding dated June 6, 2000, between Direct Detection Experts, L.L.C., and Enron Global Exploration &amp; Production Inc. [being implemented through DJ Oil &amp; Gas Limited Liability Company]]</w:t>
      </w:r>
    </w:p>
    <w:p>
      <w:pPr>
        <w:pStyle w:val="Normal"/>
        <w:rPr>
          <w:sz w:val="24"/>
        </w:rPr>
      </w:pPr>
      <w:r>
        <w:rPr>
          <w:sz w:val="24"/>
        </w:rPr>
      </w:r>
    </w:p>
    <w:p>
      <w:pPr>
        <w:pStyle w:val="Normal"/>
        <w:rPr>
          <w:b/>
          <w:sz w:val="24"/>
        </w:rPr>
      </w:pPr>
      <w:r>
        <w:rPr>
          <w:b/>
          <w:sz w:val="24"/>
        </w:rPr>
        <w:t>[Middle East</w:t>
      </w:r>
    </w:p>
    <w:p>
      <w:pPr>
        <w:pStyle w:val="Normal"/>
        <w:rPr>
          <w:b/>
          <w:sz w:val="24"/>
        </w:rPr>
      </w:pPr>
      <w:r>
        <w:rPr>
          <w:b/>
          <w:sz w:val="24"/>
        </w:rPr>
        <w:tab/>
      </w:r>
    </w:p>
    <w:p>
      <w:pPr>
        <w:pStyle w:val="Normal"/>
        <w:ind w:start="720" w:end="0"/>
        <w:jc w:val="both"/>
        <w:rPr>
          <w:sz w:val="24"/>
        </w:rPr>
      </w:pPr>
      <w:r>
        <w:rPr>
          <w:sz w:val="24"/>
        </w:rPr>
        <w:t>Acquisition of oil and gas interests in United Arab Emirates.]]</w:t>
      </w:r>
    </w:p>
    <w:p>
      <w:pPr>
        <w:sectPr>
          <w:headerReference w:type="default" r:id="rId28"/>
          <w:headerReference w:type="first" r:id="rId29"/>
          <w:footerReference w:type="default" r:id="rId30"/>
          <w:footerReference w:type="first" r:id="rId31"/>
          <w:footnotePr>
            <w:numFmt w:val="decimal"/>
          </w:footnotePr>
          <w:type w:val="nextPage"/>
          <w:pgSz w:w="12240" w:h="15840"/>
          <w:pgMar w:left="1800" w:right="1800" w:gutter="0" w:header="720" w:top="1440" w:footer="720" w:bottom="1440"/>
          <w:pgNumType w:fmt="decimal"/>
          <w:formProt w:val="false"/>
          <w:textDirection w:val="lrTb"/>
          <w:docGrid w:type="default" w:linePitch="360" w:charSpace="0"/>
        </w:sectPr>
        <w:pStyle w:val="Normal"/>
        <w:rPr>
          <w:sz w:val="24"/>
        </w:rPr>
      </w:pPr>
      <w:r>
        <w:rPr>
          <w:sz w:val="24"/>
        </w:rPr>
      </w:r>
    </w:p>
    <w:p>
      <w:pPr>
        <w:pStyle w:val="Heading"/>
        <w:rPr/>
      </w:pPr>
      <w:r>
        <w:rPr/>
        <w:t>SCHEDULE 7.05</w:t>
      </w:r>
    </w:p>
    <w:p>
      <w:pPr>
        <w:pStyle w:val="Normal"/>
        <w:jc w:val="center"/>
        <w:rPr>
          <w:b/>
          <w:sz w:val="24"/>
        </w:rPr>
      </w:pPr>
      <w:r>
        <w:rPr>
          <w:b/>
          <w:sz w:val="24"/>
        </w:rPr>
      </w:r>
    </w:p>
    <w:p>
      <w:pPr>
        <w:pStyle w:val="Normal"/>
        <w:jc w:val="center"/>
        <w:rPr>
          <w:rFonts w:ascii="Arial" w:hAnsi="Arial" w:cs="Arial"/>
          <w:b/>
          <w:sz w:val="24"/>
        </w:rPr>
      </w:pPr>
      <w:r>
        <w:rPr>
          <w:rFonts w:cs="Arial" w:ascii="Arial" w:hAnsi="Arial"/>
          <w:b/>
          <w:sz w:val="24"/>
        </w:rPr>
        <w:t>RELATED-PARTY CONTRACTS</w:t>
      </w:r>
    </w:p>
    <w:p>
      <w:pPr>
        <w:pStyle w:val="Normal"/>
        <w:jc w:val="center"/>
        <w:rPr>
          <w:rFonts w:ascii="Arial" w:hAnsi="Arial" w:cs="Arial"/>
          <w:b/>
          <w:sz w:val="24"/>
        </w:rPr>
      </w:pPr>
      <w:r>
        <w:rPr>
          <w:rFonts w:cs="Arial" w:ascii="Arial" w:hAnsi="Arial"/>
          <w:b/>
          <w:sz w:val="24"/>
        </w:rPr>
      </w:r>
    </w:p>
    <w:p>
      <w:pPr>
        <w:pStyle w:val="Heading1"/>
        <w:ind w:hanging="0" w:start="0"/>
        <w:rPr/>
      </w:pPr>
      <w:r>
        <w:rPr/>
        <w:t>EGEP GROUP OF COMPANIES</w:t>
      </w:r>
    </w:p>
    <w:p>
      <w:pPr>
        <w:pStyle w:val="Heading2"/>
        <w:ind w:hanging="0" w:start="0"/>
        <w:rPr/>
      </w:pPr>
      <w:r>
        <w:rPr/>
      </w:r>
    </w:p>
    <w:p>
      <w:pPr>
        <w:pStyle w:val="Normal"/>
        <w:jc w:val="both"/>
        <w:rPr>
          <w:sz w:val="24"/>
        </w:rPr>
      </w:pPr>
      <w:r>
        <w:rPr>
          <w:sz w:val="24"/>
        </w:rPr>
      </w:r>
    </w:p>
    <w:p>
      <w:pPr>
        <w:pStyle w:val="Normal"/>
        <w:jc w:val="both"/>
        <w:rPr>
          <w:sz w:val="24"/>
        </w:rPr>
      </w:pPr>
      <w:r>
        <w:rPr>
          <w:sz w:val="24"/>
        </w:rPr>
      </w:r>
    </w:p>
    <w:p>
      <w:pPr>
        <w:pStyle w:val="Normal"/>
        <w:numPr>
          <w:ilvl w:val="0"/>
          <w:numId w:val="7"/>
        </w:numPr>
        <w:jc w:val="both"/>
        <w:rPr>
          <w:sz w:val="24"/>
        </w:rPr>
      </w:pPr>
      <w:r>
        <w:rPr>
          <w:sz w:val="24"/>
        </w:rPr>
        <w:t>Master Agreement dated August 24, 1999, between Risk Management &amp; Trading Corp. and Enron Global Exploration &amp; Production Inc. [multi-currency cross-border swap agreement; for hedging price of crude oil]</w:t>
      </w:r>
    </w:p>
    <w:p>
      <w:pPr>
        <w:pStyle w:val="Normal"/>
        <w:jc w:val="both"/>
        <w:rPr>
          <w:sz w:val="24"/>
        </w:rPr>
      </w:pPr>
      <w:r>
        <w:rPr>
          <w:sz w:val="24"/>
        </w:rPr>
      </w:r>
    </w:p>
    <w:p>
      <w:pPr>
        <w:pStyle w:val="Normal"/>
        <w:ind w:start="720" w:end="0"/>
        <w:jc w:val="both"/>
        <w:rPr>
          <w:sz w:val="24"/>
        </w:rPr>
      </w:pPr>
      <w:r>
        <w:rPr>
          <w:sz w:val="24"/>
        </w:rPr>
        <w:t>Confirmations issued thereunder:</w:t>
      </w:r>
    </w:p>
    <w:p>
      <w:pPr>
        <w:pStyle w:val="Normal"/>
        <w:ind w:start="720" w:end="0"/>
        <w:jc w:val="both"/>
        <w:rPr>
          <w:sz w:val="24"/>
        </w:rPr>
      </w:pPr>
      <w:r>
        <w:rPr>
          <w:sz w:val="24"/>
        </w:rPr>
      </w:r>
    </w:p>
    <w:p>
      <w:pPr>
        <w:pStyle w:val="Normal"/>
        <w:ind w:start="720" w:end="0"/>
        <w:jc w:val="both"/>
        <w:rPr>
          <w:sz w:val="24"/>
        </w:rPr>
      </w:pPr>
      <w:r>
        <w:rPr>
          <w:sz w:val="24"/>
        </w:rPr>
        <w:t>Confirmation dated October 12, 1999,</w:t>
        <w:tab/>
        <w:t>re Commodity Swap N22584.1</w:t>
      </w:r>
    </w:p>
    <w:p>
      <w:pPr>
        <w:pStyle w:val="Normal"/>
        <w:ind w:start="720" w:end="0"/>
        <w:jc w:val="both"/>
        <w:rPr>
          <w:sz w:val="24"/>
        </w:rPr>
      </w:pPr>
      <w:r>
        <w:rPr>
          <w:sz w:val="24"/>
        </w:rPr>
        <w:t xml:space="preserve">Confirmation dated October 12, 1999, </w:t>
        <w:tab/>
        <w:t>re Commodity Swap N07896.1</w:t>
      </w:r>
    </w:p>
    <w:p>
      <w:pPr>
        <w:pStyle w:val="Normal"/>
        <w:ind w:start="720" w:end="0"/>
        <w:jc w:val="both"/>
        <w:rPr>
          <w:sz w:val="24"/>
        </w:rPr>
      </w:pPr>
      <w:r>
        <w:rPr>
          <w:sz w:val="24"/>
        </w:rPr>
        <w:t>Confirmation dated October 12, 1999,</w:t>
        <w:tab/>
        <w:t>re Commodity Swap N10863.1</w:t>
      </w:r>
    </w:p>
    <w:p>
      <w:pPr>
        <w:pStyle w:val="Normal"/>
        <w:ind w:start="720" w:end="0"/>
        <w:jc w:val="both"/>
        <w:rPr>
          <w:sz w:val="24"/>
        </w:rPr>
      </w:pPr>
      <w:r>
        <w:rPr>
          <w:sz w:val="24"/>
        </w:rPr>
        <w:t>Confirmation dated November 10, 1999</w:t>
        <w:tab/>
        <w:t>re Commodity Swap N42579.1</w:t>
      </w:r>
    </w:p>
    <w:p>
      <w:pPr>
        <w:pStyle w:val="Normal"/>
        <w:ind w:start="720" w:end="0"/>
        <w:jc w:val="both"/>
        <w:rPr>
          <w:sz w:val="24"/>
        </w:rPr>
      </w:pPr>
      <w:r>
        <w:rPr>
          <w:sz w:val="24"/>
        </w:rPr>
        <w:t>Confirmation dated February 02, 2000</w:t>
        <w:tab/>
        <w:t>re Commodity Swap N90425.1</w:t>
      </w:r>
    </w:p>
    <w:p>
      <w:pPr>
        <w:pStyle w:val="Normal"/>
        <w:ind w:start="720" w:end="0"/>
        <w:jc w:val="both"/>
        <w:rPr>
          <w:sz w:val="24"/>
        </w:rPr>
      </w:pPr>
      <w:r>
        <w:rPr>
          <w:sz w:val="24"/>
        </w:rPr>
        <w:t>Confirmation dated February 22, 2000</w:t>
        <w:tab/>
        <w:t>re Commodity Swap NA3763.1</w:t>
      </w:r>
    </w:p>
    <w:p>
      <w:pPr>
        <w:pStyle w:val="Normal"/>
        <w:ind w:start="720" w:end="0"/>
        <w:jc w:val="both"/>
        <w:rPr>
          <w:sz w:val="24"/>
        </w:rPr>
      </w:pPr>
      <w:r>
        <w:rPr>
          <w:sz w:val="24"/>
        </w:rPr>
      </w:r>
    </w:p>
    <w:p>
      <w:pPr>
        <w:pStyle w:val="BodyTextIndent"/>
        <w:numPr>
          <w:ilvl w:val="0"/>
          <w:numId w:val="7"/>
        </w:numPr>
        <w:jc w:val="both"/>
        <w:rPr>
          <w:sz w:val="24"/>
        </w:rPr>
      </w:pPr>
      <w:r>
        <w:rPr>
          <w:sz w:val="24"/>
        </w:rPr>
        <w:t>Promissory note dated August 13, 1999, made by Enron Development Funding Ltd. (“EDF”), payable to the order of Enron Oil &amp; Gas India Ltd., in an amount not to exceed $600 million [investment vehicle for funds obtained by Enron Oil &amp; Gas India Ltd. in ENE-EOG share exchange of August 1999, plus Enron Oil &amp; Gas India Ltd.’s net operating cash flow]</w:t>
      </w:r>
      <w:r>
        <w:rPr>
          <w:rStyle w:val="FootnoteCharacters"/>
          <w:rStyle w:val="FootnoteReference"/>
          <w:sz w:val="24"/>
        </w:rPr>
        <w:footnoteReference w:customMarkFollows="1" w:id="4"/>
        <w:t>*</w:t>
      </w:r>
    </w:p>
    <w:p>
      <w:pPr>
        <w:pStyle w:val="Normal"/>
        <w:jc w:val="both"/>
        <w:rPr>
          <w:sz w:val="24"/>
        </w:rPr>
      </w:pPr>
      <w:r>
        <w:rPr>
          <w:sz w:val="24"/>
        </w:rPr>
      </w:r>
    </w:p>
    <w:p>
      <w:pPr>
        <w:pStyle w:val="BodyTextIndent"/>
        <w:numPr>
          <w:ilvl w:val="0"/>
          <w:numId w:val="7"/>
        </w:numPr>
        <w:jc w:val="both"/>
        <w:rPr>
          <w:sz w:val="24"/>
        </w:rPr>
      </w:pPr>
      <w:r>
        <w:rPr>
          <w:sz w:val="24"/>
        </w:rPr>
        <w:t>[An arrangement similar to the foregoing has been created between EDF and Enron Oil &amp; Gas China Ltd. to serve as the investment vehicle for EOGCL’s net operating cash flow.  The documentation for such arrangement is in preparation.]</w:t>
      </w:r>
      <w:r>
        <w:rPr>
          <w:rStyle w:val="FootnoteCharacters"/>
          <w:rStyle w:val="FootnoteReference"/>
          <w:sz w:val="24"/>
        </w:rPr>
        <w:footnoteReference w:customMarkFollows="1" w:id="5"/>
        <w:t>*</w:t>
      </w:r>
    </w:p>
    <w:p>
      <w:pPr>
        <w:pStyle w:val="BodyTextIndent"/>
        <w:numPr>
          <w:ilvl w:val="0"/>
          <w:numId w:val="7"/>
        </w:numPr>
        <w:spacing w:before="240" w:after="0"/>
        <w:jc w:val="both"/>
        <w:rPr>
          <w:sz w:val="24"/>
        </w:rPr>
      </w:pPr>
      <w:r>
        <w:rPr>
          <w:sz w:val="24"/>
        </w:rPr>
        <w:t>Service Agreement between Enron Expat Services, Inc. and Enron Oil &amp; Gas India Ltd.</w:t>
      </w:r>
    </w:p>
    <w:p>
      <w:pPr>
        <w:pStyle w:val="BodyTextIndent"/>
        <w:numPr>
          <w:ilvl w:val="0"/>
          <w:numId w:val="7"/>
        </w:numPr>
        <w:spacing w:before="240" w:after="0"/>
        <w:jc w:val="both"/>
        <w:rPr>
          <w:sz w:val="24"/>
        </w:rPr>
      </w:pPr>
      <w:r>
        <w:rPr>
          <w:sz w:val="24"/>
        </w:rPr>
        <w:t>Service Agreement between Enron Expat Services, Inc. and Enron Oil Oil &amp; Gas China Ltd.</w:t>
      </w:r>
    </w:p>
    <w:p>
      <w:pPr>
        <w:pStyle w:val="BodyTextIndent"/>
        <w:jc w:val="both"/>
        <w:rPr>
          <w:sz w:val="24"/>
        </w:rPr>
      </w:pPr>
      <w:r>
        <w:rPr>
          <w:sz w:val="24"/>
        </w:rPr>
      </w:r>
    </w:p>
    <w:sectPr>
      <w:headerReference w:type="default" r:id="rId32"/>
      <w:headerReference w:type="first" r:id="rId33"/>
      <w:footerReference w:type="default" r:id="rId34"/>
      <w:footerReference w:type="first" r:id="rId35"/>
      <w:footnotePr>
        <w:numFmt w:val="decimal"/>
      </w:footnotePr>
      <w:type w:val="nextPage"/>
      <w:pgSz w:w="12240" w:h="15840"/>
      <w:pgMar w:left="1800" w:right="180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Houston:285641 v 1</w: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Houston:285641 v 1</w:t>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74295" cy="20955"/>
              <wp:effectExtent l="0" t="0" r="0" b="0"/>
              <wp:wrapSquare wrapText="bothSides"/>
              <wp:docPr id="2" name="Frame2"/>
              <a:graphic xmlns:a="http://schemas.openxmlformats.org/drawingml/2006/main">
                <a:graphicData uri="http://schemas.microsoft.com/office/word/2010/wordprocessingShape">
                  <wps:wsp>
                    <wps:cNvSpPr txBox="1"/>
                    <wps:spPr>
                      <a:xfrm>
                        <a:off x="0" y="0"/>
                        <a:ext cx="74295" cy="2095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85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Houston:285641 v 1</w:t>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Houston:285641 v 1</w:t>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Houston:285641 v 1</w:t>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74295" cy="20955"/>
              <wp:effectExtent l="0" t="0" r="0" b="0"/>
              <wp:wrapSquare wrapText="bothSides"/>
              <wp:docPr id="3" name="Frame3"/>
              <a:graphic xmlns:a="http://schemas.openxmlformats.org/drawingml/2006/main">
                <a:graphicData uri="http://schemas.microsoft.com/office/word/2010/wordprocessingShape">
                  <wps:wsp>
                    <wps:cNvSpPr txBox="1"/>
                    <wps:spPr>
                      <a:xfrm>
                        <a:off x="0" y="0"/>
                        <a:ext cx="74295" cy="2095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85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Houston:285641 v 1</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Houston:285641 v 1</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Houston:285641 v 1</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Houston:285641 v 1</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Houston:285641 v 1</w:t>
    </w:r>
    <w:r>
      <mc:AlternateContent>
        <mc:Choice Requires="wps">
          <w:drawing>
            <wp:anchor behindDoc="0" distT="0" distB="0" distL="0" distR="0" simplePos="0" locked="0" layoutInCell="0" allowOverlap="1" relativeHeight="5">
              <wp:simplePos x="0" y="0"/>
              <wp:positionH relativeFrom="margin">
                <wp:align>center</wp:align>
              </wp:positionH>
              <wp:positionV relativeFrom="paragraph">
                <wp:posOffset>635</wp:posOffset>
              </wp:positionV>
              <wp:extent cx="14605" cy="146050"/>
              <wp:effectExtent l="0" t="0" r="0" b="0"/>
              <wp:wrapSquare wrapText="bothSides"/>
              <wp:docPr id="1" name="Frame1"/>
              <a:graphic xmlns:a="http://schemas.openxmlformats.org/drawingml/2006/main">
                <a:graphicData uri="http://schemas.microsoft.com/office/word/2010/wordprocessingShape">
                  <wps:wsp>
                    <wps:cNvSpPr txBox="1"/>
                    <wps:spPr>
                      <a:xfrm>
                        <a:off x="0" y="0"/>
                        <a:ext cx="14605" cy="146050"/>
                      </a:xfrm>
                      <a:prstGeom prst="rect"/>
                      <a:solidFill>
                        <a:srgbClr val="FFFFFF">
                          <a:alpha val="0"/>
                        </a:srgbClr>
                      </a:solidFill>
                    </wps:spPr>
                    <wps:txbx>
                      <w:txbxContent>
                        <w:p>
                          <w:pPr>
                            <w:pStyle w:val="Footer"/>
                            <w:rPr>
                              <w:rStyle w:val="PageNumber"/>
                              <w:rFonts w:ascii="Arial" w:hAnsi="Arial" w:cs="Arial"/>
                            </w:rPr>
                          </w:pPr>
                          <w:r>
                            <w:rPr/>
                          </w:r>
                        </w:p>
                      </w:txbxContent>
                    </wps:txbx>
                    <wps:bodyPr anchor="t" lIns="0" tIns="0" rIns="0" bIns="0">
                      <a:noAutofit/>
                    </wps:bodyPr>
                  </wps:wsp>
                </a:graphicData>
              </a:graphic>
            </wp:anchor>
          </w:drawing>
        </mc:Choice>
        <mc:Fallback>
          <w:pict>
            <v:rect fillcolor="#FFFFFF" style="position:absolute;rotation:-0;width:1.15pt;height:11.5pt;mso-wrap-distance-left:0pt;mso-wrap-distance-right:0pt;mso-wrap-distance-top:0pt;mso-wrap-distance-bottom:0pt;margin-top:0.05pt;mso-position-vertical-relative:text;margin-left:215.45pt;mso-position-horizontal:center;mso-position-horizontal-relative:margin">
              <v:fill opacity="0f"/>
              <v:textbox inset="0in,0in,0in,0in">
                <w:txbxContent>
                  <w:p>
                    <w:pPr>
                      <w:pStyle w:val="Footer"/>
                      <w:rPr>
                        <w:rStyle w:val="PageNumber"/>
                        <w:rFonts w:ascii="Arial" w:hAnsi="Arial" w:cs="Arial"/>
                      </w:rPr>
                    </w:pPr>
                    <w:r>
                      <w:rPr/>
                    </w:r>
                  </w:p>
                </w:txbxContent>
              </v:textbox>
              <w10:wrap type="square"/>
            </v:rect>
          </w:pict>
        </mc:Fallback>
      </mc:AlternateConten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Houston:285641 v 1</w: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t>*</w:t>
      </w:r>
      <w:r>
        <w:rPr>
          <w:rFonts w:cs="Arial" w:ascii="Arial" w:hAnsi="Arial"/>
        </w:rPr>
        <w:t xml:space="preserve"> </w:t>
      </w:r>
      <w:r>
        <w:rPr>
          <w:rFonts w:cs="Arial" w:ascii="Arial" w:hAnsi="Arial"/>
        </w:rPr>
        <w:t>In process of being transferred from Enron India LLC to EOGI – India, Inc.</w:t>
      </w:r>
    </w:p>
  </w:footnote>
  <w:footnote w:id="3">
    <w:p>
      <w:pPr>
        <w:pStyle w:val="FootnoteText"/>
        <w:rPr/>
      </w:pPr>
      <w:r>
        <w:rPr>
          <w:rStyle w:val="FootnoteCharacters"/>
        </w:rPr>
        <w:t>*</w:t>
      </w:r>
      <w:r>
        <w:rPr/>
        <w:t xml:space="preserve"> </w:t>
      </w:r>
      <w:r>
        <w:rPr>
          <w:rFonts w:cs="Arial" w:ascii="Arial" w:hAnsi="Arial"/>
        </w:rPr>
        <w:t>In process of being transferred from Enron India LLC to EOGI – India, Inc.</w:t>
      </w:r>
    </w:p>
  </w:footnote>
  <w:footnote w:id="4">
    <w:p>
      <w:pPr>
        <w:pStyle w:val="FootnoteText"/>
        <w:rPr/>
      </w:pPr>
      <w:r>
        <w:rPr>
          <w:rStyle w:val="FootnoteCharacters"/>
        </w:rPr>
        <w:t>*</w:t>
      </w:r>
      <w:r>
        <w:rPr/>
        <w:t xml:space="preserve"> </w:t>
      </w:r>
      <w:r>
        <w:rPr/>
        <w:t>As of this date, EDF is a wholly owned subsidiary of Enron Asia Pacific/Africa/China LLC, whose sole member is Atlantic Commercial Finance, Inc.  Depending on which current Enron companies are the subject of the purchase and sale transaction, these entries on this schedule may require to be deleted.</w:t>
      </w:r>
    </w:p>
  </w:footnote>
  <w:footnote w:id="5">
    <w:p>
      <w:pPr>
        <w:pStyle w:val="FootnoteText"/>
        <w:rPr/>
      </w:pPr>
      <w:r>
        <w:rPr>
          <w:rStyle w:val="FootnoteCharacters"/>
        </w:rPr>
        <w:t>*</w:t>
      </w:r>
      <w:r>
        <w:rPr/>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VE DRAFT</w:t>
    </w:r>
  </w:p>
  <w:p>
    <w:pPr>
      <w:pStyle w:val="Header"/>
      <w:jc w:val="end"/>
      <w:rPr>
        <w:b/>
      </w:rPr>
    </w:pPr>
    <w:r>
      <w:rPr>
        <w:b/>
      </w:rPr>
      <w:t>7/31/00</w:t>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VE DRAFT</w:t>
    </w:r>
  </w:p>
  <w:p>
    <w:pPr>
      <w:pStyle w:val="Header"/>
      <w:jc w:val="end"/>
      <w:rPr>
        <w:b/>
      </w:rPr>
    </w:pPr>
    <w:r>
      <w:rPr>
        <w:b/>
      </w:rPr>
      <w:t>7/31/00</w:t>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VE DRAFT</w:t>
    </w:r>
  </w:p>
  <w:p>
    <w:pPr>
      <w:pStyle w:val="Header"/>
      <w:jc w:val="end"/>
      <w:rPr>
        <w:b/>
      </w:rPr>
    </w:pPr>
    <w:r>
      <w:rPr>
        <w:b/>
      </w:rPr>
      <w:t>7/31/00</w:t>
    </w:r>
  </w:p>
  <w:p>
    <w:pPr>
      <w:pStyle w:val="Header"/>
      <w:rPr>
        <w:b/>
      </w:rPr>
    </w:pPr>
    <w:r>
      <w:rPr>
        <w:b/>
      </w:rPr>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VE DRAFT</w:t>
    </w:r>
  </w:p>
  <w:p>
    <w:pPr>
      <w:pStyle w:val="Header"/>
      <w:jc w:val="end"/>
      <w:rPr>
        <w:b/>
      </w:rPr>
    </w:pPr>
    <w:r>
      <w:rPr>
        <w:b/>
      </w:rPr>
      <w:t>7/31/00</w:t>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VE DRAFT</w:t>
    </w:r>
  </w:p>
  <w:p>
    <w:pPr>
      <w:pStyle w:val="Header"/>
      <w:jc w:val="end"/>
      <w:rPr>
        <w:b/>
      </w:rPr>
    </w:pPr>
    <w:r>
      <w:rPr>
        <w:b/>
      </w:rPr>
      <w:t>7/31/00</w:t>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VE DRAFT</w:t>
    </w:r>
  </w:p>
  <w:p>
    <w:pPr>
      <w:pStyle w:val="Header"/>
      <w:jc w:val="end"/>
      <w:rPr>
        <w:b/>
      </w:rPr>
    </w:pPr>
    <w:r>
      <w:rPr>
        <w:b/>
      </w:rPr>
      <w:t>7/31/00</w:t>
    </w:r>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VE DRAFT</w:t>
    </w:r>
  </w:p>
  <w:p>
    <w:pPr>
      <w:pStyle w:val="Header"/>
      <w:jc w:val="end"/>
      <w:rPr>
        <w:b/>
      </w:rPr>
    </w:pPr>
    <w:r>
      <w:rPr>
        <w:b/>
      </w:rPr>
      <w:t>7/31/00</w:t>
    </w:r>
  </w:p>
  <w:p>
    <w:pPr>
      <w:pStyle w:val="Header"/>
      <w:rPr>
        <w:b/>
      </w:rPr>
    </w:pPr>
    <w:r>
      <w:rPr>
        <w:b/>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VE DRAFT</w:t>
    </w:r>
  </w:p>
  <w:p>
    <w:pPr>
      <w:pStyle w:val="Header"/>
      <w:jc w:val="end"/>
      <w:rPr>
        <w:b/>
      </w:rPr>
    </w:pPr>
    <w:r>
      <w:rPr>
        <w:b/>
      </w:rPr>
      <w:t>7/31/00</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VE DRAFT</w:t>
    </w:r>
  </w:p>
  <w:p>
    <w:pPr>
      <w:pStyle w:val="Header"/>
      <w:jc w:val="end"/>
      <w:rPr>
        <w:b/>
      </w:rPr>
    </w:pPr>
    <w:r>
      <w:rPr>
        <w:b/>
      </w:rPr>
      <w:t>7/31/00</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VE DRAFT</w:t>
    </w:r>
  </w:p>
  <w:p>
    <w:pPr>
      <w:pStyle w:val="Header"/>
      <w:jc w:val="end"/>
      <w:rPr>
        <w:b/>
      </w:rPr>
    </w:pPr>
    <w:r>
      <w:rPr>
        <w:b/>
      </w:rPr>
      <w:t>7/31/00</w:t>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VE DRAFT</w:t>
    </w:r>
  </w:p>
  <w:p>
    <w:pPr>
      <w:pStyle w:val="Header"/>
      <w:jc w:val="end"/>
      <w:rPr>
        <w:b/>
      </w:rPr>
    </w:pPr>
    <w:r>
      <w:rPr>
        <w:b/>
      </w:rPr>
      <w:t>7/31/00</w:t>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VE DRAFT</w:t>
    </w:r>
  </w:p>
  <w:p>
    <w:pPr>
      <w:pStyle w:val="Header"/>
      <w:jc w:val="end"/>
      <w:rPr>
        <w:b/>
      </w:rPr>
    </w:pPr>
    <w:r>
      <w:rPr>
        <w:b/>
      </w:rPr>
      <w:t>7/31/00</w:t>
    </w:r>
  </w:p>
  <w:p>
    <w:pPr>
      <w:pStyle w:val="Header"/>
      <w:rPr>
        <w:b/>
      </w:rPr>
    </w:pPr>
    <w:r>
      <w:rPr>
        <w:b/>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440"/>
        </w:tabs>
        <w:ind w:start="1440" w:hanging="720"/>
      </w:pPr>
      <w:rPr/>
    </w:lvl>
  </w:abstractNum>
  <w:abstractNum w:abstractNumId="3">
    <w:lvl w:ilvl="0">
      <w:start w:val="1"/>
      <w:numFmt w:val="decimal"/>
      <w:lvlText w:val="%1."/>
      <w:lvlJc w:val="start"/>
      <w:pPr>
        <w:tabs>
          <w:tab w:val="num" w:pos="720"/>
        </w:tabs>
        <w:ind w:start="720" w:hanging="720"/>
      </w:pPr>
      <w:rPr/>
    </w:lvl>
  </w:abstractNum>
  <w:abstractNum w:abstractNumId="4">
    <w:lvl w:ilvl="0">
      <w:start w:val="1"/>
      <w:numFmt w:val="lowerLetter"/>
      <w:lvlText w:val="%1."/>
      <w:lvlJc w:val="start"/>
      <w:pPr>
        <w:tabs>
          <w:tab w:val="num" w:pos="1800"/>
        </w:tabs>
        <w:ind w:start="1800" w:hanging="360"/>
      </w:pPr>
      <w:rPr/>
    </w:lvl>
  </w:abstractNum>
  <w:abstractNum w:abstractNumId="5">
    <w:lvl w:ilvl="0">
      <w:start w:val="1"/>
      <w:numFmt w:val="decimal"/>
      <w:lvlText w:val="%1."/>
      <w:lvlJc w:val="start"/>
      <w:pPr>
        <w:tabs>
          <w:tab w:val="num" w:pos="1440"/>
        </w:tabs>
        <w:ind w:start="1440" w:hanging="720"/>
      </w:pPr>
      <w:rPr/>
    </w:lvl>
  </w:abstractNum>
  <w:abstractNum w:abstractNumId="6">
    <w:lvl w:ilvl="0">
      <w:start w:val="1"/>
      <w:numFmt w:val="decimal"/>
      <w:lvlText w:val="%1."/>
      <w:lvlJc w:val="start"/>
      <w:pPr>
        <w:tabs>
          <w:tab w:val="num" w:pos="720"/>
        </w:tabs>
        <w:ind w:start="720" w:hanging="720"/>
      </w:pPr>
      <w:rPr/>
    </w:lvl>
  </w:abstractNum>
  <w:abstractNum w:abstractNumId="7">
    <w:lvl w:ilvl="0">
      <w:start w:val="1"/>
      <w:numFmt w:val="decimal"/>
      <w:lvlText w:val="%1."/>
      <w:lvlJc w:val="start"/>
      <w:pPr>
        <w:tabs>
          <w:tab w:val="num" w:pos="720"/>
        </w:tabs>
        <w:ind w:start="720" w:hanging="72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rFonts w:ascii="Arial" w:hAnsi="Arial" w:cs="Arial"/>
      <w:b/>
      <w:sz w:val="24"/>
    </w:rPr>
  </w:style>
  <w:style w:type="paragraph" w:styleId="Heading2">
    <w:name w:val="heading 2"/>
    <w:basedOn w:val="Normal"/>
    <w:next w:val="Normal"/>
    <w:qFormat/>
    <w:pPr>
      <w:keepNext w:val="true"/>
      <w:numPr>
        <w:ilvl w:val="1"/>
        <w:numId w:val="1"/>
      </w:numPr>
      <w:jc w:val="center"/>
      <w:outlineLvl w:val="1"/>
    </w:pPr>
    <w:rPr>
      <w:rFonts w:ascii="Arial" w:hAnsi="Arial" w:cs="Arial"/>
      <w:sz w:val="24"/>
    </w:rPr>
  </w:style>
  <w:style w:type="paragraph" w:styleId="Heading3">
    <w:name w:val="heading 3"/>
    <w:basedOn w:val="Normal"/>
    <w:next w:val="Normal"/>
    <w:qFormat/>
    <w:pPr>
      <w:keepNext w:val="true"/>
      <w:numPr>
        <w:ilvl w:val="2"/>
        <w:numId w:val="1"/>
      </w:numPr>
      <w:jc w:val="end"/>
      <w:outlineLvl w:val="2"/>
    </w:pPr>
    <w:rPr>
      <w:i/>
    </w:rPr>
  </w:style>
  <w:style w:type="character" w:styleId="WW8Num1z0">
    <w:name w:val="WW8Num1z0"/>
    <w:qFormat/>
    <w:rPr/>
  </w:style>
  <w:style w:type="character" w:styleId="WW8Num2z0">
    <w:name w:val="WW8Num2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jc w:val="center"/>
    </w:pPr>
    <w:rPr>
      <w:rFonts w:ascii="Arial" w:hAnsi="Arial" w:cs="Arial"/>
      <w:b/>
      <w:sz w:val="24"/>
    </w:rPr>
  </w:style>
  <w:style w:type="paragraph" w:styleId="BodyText">
    <w:name w:val="Body Text"/>
    <w:basedOn w:val="Normal"/>
    <w:pPr>
      <w:jc w:val="both"/>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header" Target="header6.xml"/><Relationship Id="rId13" Type="http://schemas.openxmlformats.org/officeDocument/2006/relationships/header" Target="header7.xml"/><Relationship Id="rId14" Type="http://schemas.openxmlformats.org/officeDocument/2006/relationships/footer" Target="footer6.xml"/><Relationship Id="rId15" Type="http://schemas.openxmlformats.org/officeDocument/2006/relationships/footer" Target="footer7.xml"/><Relationship Id="rId16" Type="http://schemas.openxmlformats.org/officeDocument/2006/relationships/header" Target="header8.xml"/><Relationship Id="rId17" Type="http://schemas.openxmlformats.org/officeDocument/2006/relationships/header" Target="header9.xml"/><Relationship Id="rId18" Type="http://schemas.openxmlformats.org/officeDocument/2006/relationships/footer" Target="footer8.xml"/><Relationship Id="rId19" Type="http://schemas.openxmlformats.org/officeDocument/2006/relationships/footer" Target="footer9.xml"/><Relationship Id="rId20" Type="http://schemas.openxmlformats.org/officeDocument/2006/relationships/header" Target="header10.xml"/><Relationship Id="rId21" Type="http://schemas.openxmlformats.org/officeDocument/2006/relationships/header" Target="header11.xml"/><Relationship Id="rId22" Type="http://schemas.openxmlformats.org/officeDocument/2006/relationships/footer" Target="footer10.xml"/><Relationship Id="rId23" Type="http://schemas.openxmlformats.org/officeDocument/2006/relationships/footer" Target="footer11.xml"/><Relationship Id="rId24" Type="http://schemas.openxmlformats.org/officeDocument/2006/relationships/header" Target="header12.xml"/><Relationship Id="rId25" Type="http://schemas.openxmlformats.org/officeDocument/2006/relationships/header" Target="header13.xml"/><Relationship Id="rId26" Type="http://schemas.openxmlformats.org/officeDocument/2006/relationships/footer" Target="footer12.xml"/><Relationship Id="rId27" Type="http://schemas.openxmlformats.org/officeDocument/2006/relationships/footer" Target="footer13.xml"/><Relationship Id="rId28" Type="http://schemas.openxmlformats.org/officeDocument/2006/relationships/header" Target="header14.xml"/><Relationship Id="rId29" Type="http://schemas.openxmlformats.org/officeDocument/2006/relationships/header" Target="header15.xml"/><Relationship Id="rId30" Type="http://schemas.openxmlformats.org/officeDocument/2006/relationships/footer" Target="footer14.xml"/><Relationship Id="rId31" Type="http://schemas.openxmlformats.org/officeDocument/2006/relationships/footer" Target="footer15.xml"/><Relationship Id="rId32" Type="http://schemas.openxmlformats.org/officeDocument/2006/relationships/header" Target="header16.xml"/><Relationship Id="rId33" Type="http://schemas.openxmlformats.org/officeDocument/2006/relationships/header" Target="header17.xml"/><Relationship Id="rId34" Type="http://schemas.openxmlformats.org/officeDocument/2006/relationships/footer" Target="footer16.xml"/><Relationship Id="rId35" Type="http://schemas.openxmlformats.org/officeDocument/2006/relationships/footer" Target="footer17.xml"/><Relationship Id="rId36" Type="http://schemas.openxmlformats.org/officeDocument/2006/relationships/footnotes" Target="footnotes.xml"/><Relationship Id="rId37" Type="http://schemas.openxmlformats.org/officeDocument/2006/relationships/numbering" Target="numbering.xml"/><Relationship Id="rId38" Type="http://schemas.openxmlformats.org/officeDocument/2006/relationships/fontTable" Target="fontTable.xml"/><Relationship Id="rId39" Type="http://schemas.openxmlformats.org/officeDocument/2006/relationships/settings" Target="settings.xml"/><Relationship Id="rId4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2000-08-01T02:42:00Z</dcterms:created>
  <dc:creator>lkumbal</dc:creator>
  <dc:description/>
  <dc:language>en-CA</dc:language>
  <cp:lastModifiedBy>VE</cp:lastModifiedBy>
  <cp:lastPrinted>2000-07-31T23:50:00Z</cp:lastPrinted>
  <dcterms:modified xsi:type="dcterms:W3CDTF">2000-08-01T02:42:00Z</dcterms:modified>
  <cp:revision>2</cp:revision>
  <dc:subject/>
  <dc:title>Name of </dc:title>
</cp:coreProperties>
</file>