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rPr/>
      </w:pPr>
      <w:r>
        <w:rPr/>
      </w:r>
    </w:p>
    <w:p>
      <w:pPr>
        <w:pStyle w:val="Normal"/>
        <w:rPr/>
      </w:pPr>
      <w:r>
        <w:rPr/>
        <w:tab/>
        <w:t>The following is a summary of regulatory consents or notifications to regulators required according to information received from local counsel.</w:t>
      </w:r>
    </w:p>
    <w:p>
      <w:pPr>
        <w:pStyle w:val="Normal"/>
        <w:rPr/>
      </w:pPr>
      <w:r>
        <w:rPr/>
      </w:r>
    </w:p>
    <w:p>
      <w:pPr>
        <w:pStyle w:val="Normal"/>
        <w:ind w:hanging="720" w:start="720" w:end="0"/>
        <w:rPr/>
      </w:pPr>
      <w:r>
        <w:rPr/>
        <w:t>1.</w:t>
        <w:tab/>
        <w:t>The Competition Defense System provides for antitrust review of certain transactions by three authorities:  the Office of Economic Law; the Office of Economic Monitoring; and the Administrative Council of Economic Defense (“CADE”).  CADE makes the final regulatory determination with respect to a transaction notified to it.  Under current practice, CADE may seek advice from Agencia Nacional de Petroleo (“ANP”) and Agencia Nacional de Energia Electrica (“ANEEL”) when considering transactions in the respective economy sectors regulated by one of them.</w:t>
      </w:r>
    </w:p>
    <w:p>
      <w:pPr>
        <w:pStyle w:val="Normal"/>
        <w:ind w:hanging="720" w:start="720" w:end="0"/>
        <w:rPr/>
      </w:pPr>
      <w:r>
        <w:rPr/>
      </w:r>
    </w:p>
    <w:p>
      <w:pPr>
        <w:pStyle w:val="Normal"/>
        <w:ind w:hanging="720" w:start="720" w:end="0"/>
        <w:rPr/>
      </w:pPr>
      <w:r>
        <w:rPr/>
        <w:t>2.</w:t>
        <w:tab/>
        <w:t xml:space="preserve">ANEEL is the Brazilian federal regulator of the Brazilian electric power sector.  ANEEL must consent to </w:t>
      </w:r>
      <w:r>
        <w:rPr>
          <w:b/>
        </w:rPr>
        <w:t xml:space="preserve">[any] </w:t>
      </w:r>
      <w:r>
        <w:rPr/>
        <w:t>transfer to a third party of the concession or controlling interest in the concessionaire, ELEKTRO.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jc w:val="center"/>
        <w:outlineLvl w:val="0"/>
        <w:rPr>
          <w:b/>
        </w:rPr>
      </w:pPr>
      <w:r>
        <w:rPr>
          <w:b/>
        </w:rPr>
        <w:t>SCHEDULE 4.01</w:t>
      </w:r>
    </w:p>
    <w:p>
      <w:pPr>
        <w:pStyle w:val="Normal"/>
        <w:jc w:val="center"/>
        <w:rPr>
          <w:b/>
        </w:rPr>
      </w:pPr>
      <w:r>
        <w:rPr>
          <w:b/>
        </w:rPr>
      </w:r>
    </w:p>
    <w:p>
      <w:pPr>
        <w:pStyle w:val="Normal"/>
        <w:numPr>
          <w:ilvl w:val="0"/>
          <w:numId w:val="0"/>
        </w:numPr>
        <w:jc w:val="center"/>
        <w:outlineLvl w:val="0"/>
        <w:rPr>
          <w:b/>
        </w:rPr>
      </w:pPr>
      <w:r>
        <w:rPr>
          <w:b/>
        </w:rPr>
        <w:t>IDENTIFICATION OF THE SELLER</w:t>
      </w:r>
    </w:p>
    <w:p>
      <w:pPr>
        <w:pStyle w:val="Normal"/>
        <w:rPr/>
      </w:pPr>
      <w:r>
        <w:rPr/>
      </w:r>
    </w:p>
    <w:p>
      <w:pPr>
        <w:pStyle w:val="Normal"/>
        <w:rPr/>
      </w:pPr>
      <w:r>
        <w:rPr/>
        <w:tab/>
        <w:t>The following is the name of the Seller, the nature of its organization and the jurisdiction of its organization.</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rHeight w:val="143" w:hRule="atLeast"/>
        </w:trPr>
        <w:tc>
          <w:tcPr>
            <w:tcW w:w="2394"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Elektro</w:t>
            </w:r>
          </w:p>
        </w:tc>
        <w:tc>
          <w:tcPr>
            <w:tcW w:w="2394"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Elektro</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XI Ltd.</w:t>
            </w:r>
          </w:p>
        </w:tc>
        <w:tc>
          <w:tcPr>
            <w:tcW w:w="2394"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South America L.L.C., a Delaware limited liability company</w:t>
            </w:r>
          </w:p>
        </w:tc>
      </w:tr>
      <w:tr>
        <w:trPr>
          <w:trHeight w:val="142" w:hRule="atLeast"/>
        </w:trPr>
        <w:tc>
          <w:tcPr>
            <w:tcW w:w="23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V Ltd.</w:t>
            </w:r>
          </w:p>
        </w:tc>
        <w:tc>
          <w:tcPr>
            <w:tcW w:w="23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4.03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EXCEPTIONS TO TITLE TO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 xml:space="preserve">With respect to the Debt Agreements described in Schedule 8.04 of this Parent’s Disclosure Letter, in a transaction contemplated by one set of such Debt Agreements, collectively referred to as Firefly, _________________, a holding company for the Equity Securities of Elektro (the “Elektro Holding Company”) sold and transferred to ________________ (the “Trust”) title to ____ ordinary shares of Elektro (the “Elektro Shares”), representing __% of the outstanding.  The Trust obtained the funds for the purchase of such shares by borrowing U.S.$ __________ under a [loan agreement to be described].  The Elektro Holding Company has the right at any time to prepay the borrowings by the Trust under the Loan Agreement.  Neither the Parent nor the Elektro Holding Company has the absolute right to require the reconveyance to the Elektro Holding Company of the Elektro shares, but, in light of the economic constraints placed on the Trust following repayment of the debt, the Parent believes the Trust will do so upon request.  </w:t>
      </w:r>
      <w:r>
        <w:rPr>
          <w:b/>
        </w:rPr>
        <w:t>[This item to be deleted once Firefly is taken out.]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jc w:val="center"/>
        <w:outlineLvl w:val="0"/>
        <w:rPr>
          <w:b/>
        </w:rPr>
      </w:pPr>
      <w:r>
        <w:rPr>
          <w:b/>
        </w:rPr>
        <w:t>SCHEDULE 4.05</w:t>
      </w:r>
    </w:p>
    <w:p>
      <w:pPr>
        <w:pStyle w:val="Normal"/>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following are the contracts to which Seller is a party or by which it or its properties or assets are bound, the terms of which would be violated or breached by execution, delivery or performance of the Agreement by such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1.</w:t>
        <w:tab/>
        <w:t>Edital.  Item 4.3 of the Edital provides that the new controlling stockholder must obtain the prior approval of ANEEL to any amendment to the Bylaws or any other changes in the controlling interest of Elektro.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2.</w:t>
        <w:tab/>
        <w:t xml:space="preserve">Concession Contract dated August 27, 1998 between Elektro and ANEEL.  The Concession Contract provides that the controlling stockholder may not transfer its controlling shares in Elektro without the prior approval of ANEEL.  A controlling stockholder is defined to include a holder of a majority of the share voting power and which uses such power to elect company officials and guide operations.  Repeats the requirement of the Edital summarized above.  </w:t>
      </w:r>
      <w:r>
        <w:rPr>
          <w:b/>
        </w:rPr>
        <w:t>[To be confirmed by Vinson Elkins subsequent to review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3.</w:t>
        <w:tab/>
        <w:t xml:space="preserve">Shares Purchase and Sale Contract dated July 24, 1998 between CESP and Terraco Participacoes.  The Shares Purchase and Sale Contract extends the requirement of the Edital summarized above to the stockholders of a controlling stockholder.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TRANSFER COMPANIES AND SUBJECT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following table sets forth the name of each Transfer Company and Subject Company, together with the nature of its legal organization, the jurisdiction of its organization and its direct and indirect ownership by the Parent (expressed as a percentage):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Elektro: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Enron Brazil Power Holdings XI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Enron Brazil Power Investments XI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ETB-Energia Total do Brasil Ltda., a Brazilian partnership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b/>
        <w:t>Elektro-Eletricidade Servicos S.A., a Brazilian corporation (the Operating Company) (47.83%).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Enron Brazil Power Holdings V Ltd., a Cayman Islands corporation (100%).</w:t>
      </w:r>
      <w:r>
        <w:rPr>
          <w:rStyle w:val="FootnoteReference"/>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ab/>
        <w:t>EIE-Enron Investimentos Energeticos Ltda., a Brazilian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ab/>
        <w:t>EPC-Empresa Paranaense Comercializadora, a Brazilian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ab/>
        <w:t>Enron Brazil Power Investments V Ltd., a Brazilian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b/>
        <w:t>Elektro-Eletricidade Servicos S.A., a Brazilian corporation (the Operating Company) (51.79%).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Seller’s contractual and other restrictions set forth on Schedule 4.05, all of which are incorporated herein by this reference.</w:t>
      </w:r>
    </w:p>
    <w:p>
      <w:pPr>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REQUIRED REGULATORY APPROVALS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Sellers’ contractual and other restrictions set forth on Schedule 4.05, all of which are incorporated herein by this reference.</w:t>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 xml:space="preserve">The following are the authorized Equity Securities of each Subject Company, the total outstanding Equity Securities in each Subject Company and the outstanding Equity Securities in each Subject Company owned by the related Seller, in each case as of the date of the Agreement </w:t>
      </w:r>
      <w:r>
        <w:rPr>
          <w:b/>
        </w:rPr>
        <w:t>[Company to send this information]</w:t>
      </w:r>
      <w:r>
        <w:rPr/>
        <w:t>:</w:t>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Business(es)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tcBorders>
          </w:tcPr>
          <w:p>
            <w:pPr>
              <w:pStyle w:val="Normal"/>
              <w:rPr/>
            </w:pPr>
            <w:r>
              <w:rPr/>
              <w:t>Elektro</w:t>
            </w:r>
          </w:p>
        </w:tc>
        <w:tc>
          <w:tcPr>
            <w:tcW w:w="2250" w:type="dxa"/>
            <w:tcBorders>
              <w:top w:val="single" w:sz="6" w:space="0" w:color="000000"/>
              <w:start w:val="single" w:sz="6" w:space="0" w:color="000000"/>
            </w:tcBorders>
          </w:tcPr>
          <w:p>
            <w:pPr>
              <w:pStyle w:val="Normal"/>
              <w:rPr/>
            </w:pPr>
            <w:r>
              <w:rPr/>
              <w:t>Enron Brazil Power Holdings XI Ltd.</w:t>
            </w:r>
          </w:p>
        </w:tc>
        <w:tc>
          <w:tcPr>
            <w:tcW w:w="1800" w:type="dxa"/>
            <w:tcBorders>
              <w:top w:val="single" w:sz="6" w:space="0" w:color="000000"/>
              <w:start w:val="single" w:sz="6" w:space="0" w:color="000000"/>
            </w:tcBorders>
          </w:tcPr>
          <w:p>
            <w:pPr>
              <w:pStyle w:val="Normal"/>
              <w:snapToGrid w:val="false"/>
              <w:rPr/>
            </w:pPr>
            <w:r>
              <w:rPr/>
            </w:r>
          </w:p>
        </w:tc>
        <w:tc>
          <w:tcPr>
            <w:tcW w:w="1710" w:type="dxa"/>
            <w:tcBorders>
              <w:top w:val="single" w:sz="6" w:space="0" w:color="000000"/>
              <w:start w:val="single" w:sz="6" w:space="0" w:color="000000"/>
            </w:tcBorders>
          </w:tcPr>
          <w:p>
            <w:pPr>
              <w:pStyle w:val="Normal"/>
              <w:snapToGrid w:val="false"/>
              <w:rPr/>
            </w:pPr>
            <w:r>
              <w:rPr/>
            </w:r>
          </w:p>
        </w:tc>
        <w:tc>
          <w:tcPr>
            <w:tcW w:w="1710" w:type="dxa"/>
            <w:tcBorders>
              <w:top w:val="single" w:sz="6" w:space="0" w:color="000000"/>
              <w:start w:val="single" w:sz="6" w:space="0" w:color="000000"/>
            </w:tcBorders>
          </w:tcPr>
          <w:p>
            <w:pPr>
              <w:pStyle w:val="Normal"/>
              <w:snapToGrid w:val="false"/>
              <w:rPr/>
            </w:pPr>
            <w:r>
              <w:rPr/>
            </w:r>
          </w:p>
        </w:tc>
        <w:tc>
          <w:tcPr>
            <w:tcW w:w="1440" w:type="dxa"/>
            <w:tcBorders>
              <w:top w:val="single" w:sz="6" w:space="0" w:color="000000"/>
              <w:start w:val="single" w:sz="6" w:space="0" w:color="000000"/>
            </w:tcBorders>
          </w:tcPr>
          <w:p>
            <w:pPr>
              <w:pStyle w:val="Normal"/>
              <w:snapToGrid w:val="false"/>
              <w:rPr/>
            </w:pPr>
            <w:r>
              <w:rPr/>
            </w:r>
          </w:p>
        </w:tc>
        <w:tc>
          <w:tcPr>
            <w:tcW w:w="171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710" w:type="dxa"/>
            <w:tcBorders>
              <w:top w:val="single" w:sz="4" w:space="0" w:color="000000"/>
              <w:start w:val="single" w:sz="4" w:space="0" w:color="000000"/>
              <w:bottom w:val="single" w:sz="4" w:space="0" w:color="000000"/>
            </w:tcBorders>
          </w:tcPr>
          <w:p>
            <w:pPr>
              <w:pStyle w:val="Normal"/>
              <w:rPr/>
            </w:pPr>
            <w:r>
              <w:rPr/>
              <w:t>Elektro</w:t>
            </w:r>
          </w:p>
        </w:tc>
        <w:tc>
          <w:tcPr>
            <w:tcW w:w="2250" w:type="dxa"/>
            <w:tcBorders>
              <w:top w:val="single" w:sz="4" w:space="0" w:color="000000"/>
              <w:start w:val="single" w:sz="6" w:space="0" w:color="000000"/>
              <w:bottom w:val="single" w:sz="4" w:space="0" w:color="000000"/>
            </w:tcBorders>
          </w:tcPr>
          <w:p>
            <w:pPr>
              <w:pStyle w:val="Normal"/>
              <w:rPr/>
            </w:pPr>
            <w:r>
              <w:rPr/>
              <w:t>Enron Brazil Power Holdings V Ltd.</w:t>
            </w:r>
          </w:p>
        </w:tc>
        <w:tc>
          <w:tcPr>
            <w:tcW w:w="180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440" w:type="dxa"/>
            <w:tcBorders>
              <w:top w:val="single" w:sz="4" w:space="0" w:color="000000"/>
              <w:start w:val="single" w:sz="6" w:space="0" w:color="000000"/>
              <w:bottom w:val="single" w:sz="4" w:space="0" w:color="000000"/>
              <w:end w:val="single" w:sz="4" w:space="0" w:color="000000"/>
            </w:tcBorders>
          </w:tcPr>
          <w:p>
            <w:pPr>
              <w:pStyle w:val="Normal"/>
              <w:snapToGrid w:val="false"/>
              <w:rPr/>
            </w:pPr>
            <w:r>
              <w:rPr/>
            </w:r>
          </w:p>
        </w:tc>
        <w:tc>
          <w:tcPr>
            <w:tcW w:w="1710" w:type="dxa"/>
            <w:tcBorders>
              <w:top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headerReference w:type="default" r:id="rId8"/>
          <w:headerReference w:type="first" r:id="rId9"/>
          <w:footerReference w:type="default" r:id="rId10"/>
          <w:footerReference w:type="first" r:id="rId11"/>
          <w:footnotePr>
            <w:numFmt w:val="decimal"/>
          </w:footnotePr>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u w:val="single"/>
        </w:rPr>
      </w:pPr>
      <w:r>
        <w:rPr>
          <w:b/>
          <w:u w:val="single"/>
        </w:rPr>
        <w:t>SCHEDULE 5.03(c)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MATTERS RELATING TO EQUITY SECURITIES OF THE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Matters relating to Clause (iii):  See the contractual restrictions disclosed in Schedules 3.04, 4.05 and 5.02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Matters relating to Clause (iv):  See the contractual restrictions disclosed in Schedules 3.04, 4.05 and 5.02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III.</w:t>
        <w:tab/>
        <w:t>Information regarding adverse claims with respect to Equity Securities of Subject 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w:t>
        <w:tab/>
        <w:t xml:space="preserve">With respect to the Equity Securities of _______________, the holding company owning the Equity Securities of Elektro (the “Elektro Holding Company”), see Schedule 4.03.  </w:t>
      </w:r>
      <w:r>
        <w:rPr>
          <w:b/>
        </w:rPr>
        <w:t>[This item to be deleted once Firefly is taken out.]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None.</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u w:val="single"/>
        </w:rPr>
      </w:pPr>
      <w:r>
        <w:rPr>
          <w:b/>
        </w:rPr>
        <w:t>SCHEDULE 5.04</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TITLES TO PROPERTIES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 xml:space="preserve">[Following privatization, Elektro signed an agreement </w:t>
      </w:r>
      <w:r>
        <w:rPr>
          <w:b/>
        </w:rPr>
        <w:t>[Company to supply name of agreement]</w:t>
      </w:r>
      <w:r>
        <w:rPr/>
        <w:t xml:space="preserve"> with Companhia Energetica de Sao Paulo S.A. (“CESP”), a state controlled concessionaire, to resolve title issues related to Elektro’s title to certain properties.  </w:t>
      </w:r>
      <w:r>
        <w:rPr>
          <w:b/>
        </w:rPr>
        <w:t>[Company to attach list of properties with title issues.]</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5.05</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FINANCIAL STATEMENTS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t>[to come from Bob Butts]</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AUTHORIZATIONS FOR DEVELOPED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720" w:end="0"/>
        <w:rPr/>
      </w:pPr>
      <w:r>
        <w:rPr/>
        <w:t>A.</w:t>
        <w:tab/>
        <w:t>Authorizations necessary to carry on the related Business as currently conducted that have not been obtained: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r>
      <w:r>
        <w:rPr>
          <w:b/>
        </w:rPr>
        <w:t>[Environmental permits for towers?  Company to email info to be included here]</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720" w:end="0"/>
        <w:rPr/>
      </w:pPr>
      <w:r>
        <w:rPr/>
        <w:t>B.</w:t>
        <w:tab/>
        <w:t>Written notifications from a Governmental Authority that Authorizations (1) are not in full force and effect, (2) have been violated, or (3) are subject to suspension, revocation or cancellation:</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720" w:end="0"/>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720" w:end="0"/>
        <w:rPr/>
      </w:pPr>
      <w:r>
        <w:rPr/>
        <w:tab/>
        <w:t>None.</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C.</w:t>
        <w:tab/>
        <w:t>Actions, proceeding or investigations regarding Authorizations:</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5.07(a)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COMPLIANCE WITH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rPr/>
      </w:pPr>
      <w:r>
        <w:rPr/>
        <w:t>1.</w:t>
        <w:tab/>
        <w:t xml:space="preserve">In December, 1998, Terraco Limitada was merged into Elektro.  A premium, representing the difference between Elektro’s net worth and the price paid for Elektro’s shares, was registered in Terraco’s accounting books.  This premium was transferred to Elektro by virtue of said merger and was justified as an expectation of future profits.  The merger was previously authorized by CVM </w:t>
      </w:r>
      <w:r>
        <w:rPr>
          <w:b/>
        </w:rPr>
        <w:t>[Company to define]</w:t>
      </w:r>
      <w:r>
        <w:rPr/>
        <w:t xml:space="preserve"> and ANEEL.  ANEEL has granted its approval, subject to the fulfillment by Elektro (among others) of the obligation to maintain separately the accounting impact of such merger and to not consider such effects for the purposes of any tariff reviews until the date the premium would be fully amortized.  ANEEL has also stated that the accounting of this transaction as well as the amortization period would be defined by ANEEL.  Enron planned to amortize this premium in ten years, which is allowed by the law, and normally accepted by the tax authorities.  In 1999, ANEEL issued a resolution determining that the premium should be amortized by Elektro in thirty years.  Should Elektro abide by this resolution, it would negatively impact its cash flow over the same period by approximately US$30MM.  In disputing this resolution, Elektro, which considers this detrimental to its best interest, consulted Mr. Jose Luiz Bulhoes Pedreira, a very well known lawyer with large experience in tax matters, about the legality of such determination.  Mr Bulhoes opinion, in short, is that Elektro has not only the right but the obligation to account the amortization in its regular accounting books in the ten-year term and consequently in its tax books in the same period.  As a consequence reducing its taxable income provided that Elektro shall keep a separate set of auxiliary books so as to register and to present to ANEEL the accounting effects of the 30 year term for the amortization (to allow ANEEL the avoidance of the inclusion of any such effects in tariff reviews).</w:t>
      </w:r>
    </w:p>
    <w:p>
      <w:pPr>
        <w:pStyle w:val="Normal"/>
        <w:rPr/>
      </w:pPr>
      <w:r>
        <w:rPr/>
      </w:r>
    </w:p>
    <w:p>
      <w:pPr>
        <w:pStyle w:val="Normal"/>
        <w:rPr/>
      </w:pPr>
      <w:r>
        <w:rPr/>
        <w:tab/>
        <w:t>In light of ANEEL’s position on this matter, the tax authorities may challenge the adoption by Elektro of the ten-year term and may potentially impose penalties on Elektro.  However, Elektro’s position on this matter has been followed for the 1999 accounting closing and was accepted by Arthur Andersen.  Elektro has also been informed that CPFL (a major LDC in the S. Paulo State) is also adopting this same procedure despite a similar determination from ANEEL.  On April 5</w:t>
      </w:r>
      <w:r>
        <w:rPr>
          <w:vertAlign w:val="superscript"/>
        </w:rPr>
        <w:t>th</w:t>
      </w:r>
      <w:r>
        <w:rPr/>
        <w:t xml:space="preserve"> 2000, ANEEL sent Elektro a notification (TN 051/2000) stating that we did not follow their orientation regarding the amortization period since Elektro was amortizing in 10 versus the 30 years determined by that Agency.</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On April 25, 2000, Elektro sent its response to ANEEL using the arguments described above, which was replied to by ANEEL letter - Ofício 363/2000 of May 18, 2000, in which ANEEL formally requested the Brazilian IRS and SEC (respectively Secretaria da Receita Federal - SRF e Comissão de Valores Mobiliários – CVM) to provide advice regarding this matter.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5.07(b)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TARIFF REGULATION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rPr/>
      </w:pPr>
      <w:r>
        <w:rPr/>
        <w:tab/>
      </w:r>
      <w:r>
        <w:rPr>
          <w:lang w:eastAsia="en-US"/>
        </w:rPr>
        <w:t>This Schedule sets forth the Governmental Authorities which regulate the tariffs charged by Elektro and other operational matters relating to Elektro, as well as the citation of the statutory authority under which such regulatory authority is exerted</w:t>
      </w:r>
      <w:r>
        <w:rPr>
          <w:b/>
        </w:rPr>
        <w:t>: [Company to provide statutory citations under which these regulatory authorities operate]</w:t>
      </w:r>
    </w:p>
    <w:p>
      <w:pPr>
        <w:pStyle w:val="Normal"/>
        <w:tabs>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clear" w:pos="720"/>
          <w:tab w:val="left" w:pos="180" w:leader="none"/>
        </w:tabs>
        <w:ind w:hanging="720" w:start="720" w:end="0"/>
        <w:rPr/>
      </w:pPr>
      <w:r>
        <w:rPr/>
        <w:t>1.</w:t>
        <w:tab/>
        <w:t xml:space="preserve"> CSPE – Comissão de Serviços Públicos do Estado de São Paulo</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2.</w:t>
        <w:tab/>
        <w:t>ANEEL – Agência Nacional de Energia Elétrica</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3.</w:t>
        <w:tab/>
        <w:t>CVM – Comissão de Valore Mobiliários</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4.</w:t>
        <w:tab/>
        <w:t>SRF – Secretaria da Receita Federal</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5.</w:t>
        <w:tab/>
        <w:t>Banco Central do Brasil</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6.</w:t>
        <w:tab/>
        <w:t>Ministério do Trabalho</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7.</w:t>
        <w:tab/>
        <w:t>Secretaria Nacional de Previdência Complementar</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8.</w:t>
        <w:tab/>
        <w:t>Ministério da Previdência Social – INSS</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9.</w:t>
        <w:tab/>
        <w:t>IBAMA – Instituto Brasileiro de Meio Ambiente</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10.</w:t>
        <w:tab/>
        <w:t>Secretaria de Meio Ambiente do Estado de São Paulo / CETESB (cia de Tecnologia de Saneamento Ambiental)</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11.</w:t>
        <w:tab/>
        <w:t>Secretaria da Fazenda do Estado de São Paulo</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12.</w:t>
        <w:tab/>
        <w:t>DREA – [Brazil’s engineering and architecture regulatory body]</w:t>
      </w:r>
    </w:p>
    <w:p>
      <w:pPr>
        <w:pStyle w:val="Normal"/>
        <w:tabs>
          <w:tab w:val="clear" w:pos="720"/>
          <w:tab w:val="left" w:pos="180" w:leader="none"/>
        </w:tabs>
        <w:ind w:hanging="720" w:start="720" w:end="0"/>
        <w:rPr/>
      </w:pPr>
      <w:r>
        <w:rPr/>
      </w:r>
    </w:p>
    <w:p>
      <w:pPr>
        <w:pStyle w:val="Normal"/>
        <w:tabs>
          <w:tab w:val="clear" w:pos="720"/>
          <w:tab w:val="left" w:pos="180" w:leader="none"/>
        </w:tabs>
        <w:ind w:hanging="720" w:start="720" w:end="0"/>
        <w:rPr/>
      </w:pPr>
      <w:r>
        <w:rPr/>
        <w:t>13.</w:t>
        <w:tab/>
        <w:t>CADE – Brazil’s Administrative Council of Economic Defense</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776"/>
          <w:pgNumType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b/>
        </w:rPr>
      </w:pPr>
      <w:r>
        <w:rPr>
          <w:b/>
        </w:rPr>
        <w:t>1.</w:t>
        <w:tab/>
        <w:t>INSURANCE POLICIES INFORMATION</w:t>
      </w:r>
    </w:p>
    <w:p>
      <w:pPr>
        <w:pStyle w:val="Normal"/>
        <w:rPr>
          <w:b/>
        </w:rPr>
      </w:pPr>
      <w:r>
        <w:rPr>
          <w:b/>
        </w:rPr>
      </w:r>
    </w:p>
    <w:tbl>
      <w:tblPr>
        <w:tblW w:w="13620" w:type="dxa"/>
        <w:jc w:val="start"/>
        <w:tblInd w:w="0" w:type="dxa"/>
        <w:tblLayout w:type="fixed"/>
        <w:tblCellMar>
          <w:top w:w="0" w:type="dxa"/>
          <w:start w:w="30" w:type="dxa"/>
          <w:bottom w:w="0" w:type="dxa"/>
          <w:end w:w="30" w:type="dxa"/>
        </w:tblCellMar>
      </w:tblPr>
      <w:tblGrid>
        <w:gridCol w:w="2615"/>
        <w:gridCol w:w="2630"/>
        <w:gridCol w:w="2232"/>
        <w:gridCol w:w="2423"/>
        <w:gridCol w:w="1896"/>
        <w:gridCol w:w="1824"/>
      </w:tblGrid>
      <w:tr>
        <w:trPr>
          <w:trHeight w:val="250" w:hRule="atLeast"/>
        </w:trPr>
        <w:tc>
          <w:tcPr>
            <w:tcW w:w="13620" w:type="dxa"/>
            <w:gridSpan w:val="6"/>
            <w:tcBorders>
              <w:top w:val="single" w:sz="2" w:space="0" w:color="000000"/>
              <w:start w:val="single" w:sz="2" w:space="0" w:color="000000"/>
              <w:bottom w:val="single" w:sz="2" w:space="0" w:color="000000"/>
              <w:end w:val="single" w:sz="2" w:space="0" w:color="000000"/>
            </w:tcBorders>
          </w:tcPr>
          <w:p>
            <w:pPr>
              <w:pStyle w:val="Normal"/>
              <w:tabs>
                <w:tab w:val="left" w:pos="720" w:leader="none"/>
                <w:tab w:val="center" w:pos="7560" w:leader="none"/>
                <w:tab w:val="right" w:pos="12960" w:leader="none"/>
              </w:tabs>
              <w:jc w:val="start"/>
              <w:rPr>
                <w:b/>
                <w:color w:val="000000"/>
                <w:lang w:val="pt-BR" w:eastAsia="pt-BR"/>
              </w:rPr>
            </w:pPr>
            <w:r>
              <w:rPr>
                <w:b/>
                <w:color w:val="000000"/>
                <w:lang w:val="pt-BR" w:eastAsia="pt-BR"/>
              </w:rPr>
              <w:tab/>
              <w:t>ELEKTRO ELETRICIDADE E SERVIÇOS S/A</w:t>
              <w:tab/>
              <w:t>INSURANCE</w:t>
              <w:tab/>
              <w:t>SUMMARY 1999 - 2000</w:t>
            </w:r>
          </w:p>
        </w:tc>
      </w:tr>
      <w:tr>
        <w:trPr>
          <w:trHeight w:val="250" w:hRule="atLeast"/>
        </w:trPr>
        <w:tc>
          <w:tcPr>
            <w:tcW w:w="2615" w:type="dxa"/>
            <w:tcBorders>
              <w:top w:val="single" w:sz="6" w:space="0" w:color="000000"/>
              <w:start w:val="single" w:sz="6" w:space="0" w:color="000000"/>
              <w:bottom w:val="single" w:sz="2" w:space="0" w:color="000000"/>
              <w:end w:val="single" w:sz="6" w:space="0" w:color="000000"/>
            </w:tcBorders>
          </w:tcPr>
          <w:p>
            <w:pPr>
              <w:pStyle w:val="Normal"/>
              <w:snapToGrid w:val="false"/>
              <w:jc w:val="end"/>
              <w:rPr>
                <w:b/>
                <w:color w:val="000000"/>
                <w:lang w:val="pt-BR" w:eastAsia="pt-BR"/>
              </w:rPr>
            </w:pPr>
            <w:r>
              <w:rPr>
                <w:b/>
                <w:color w:val="000000"/>
                <w:lang w:val="pt-BR" w:eastAsia="pt-BR"/>
              </w:rPr>
            </w:r>
          </w:p>
        </w:tc>
        <w:tc>
          <w:tcPr>
            <w:tcW w:w="263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b/>
                <w:color w:val="000000"/>
                <w:lang w:val="pt-BR" w:eastAsia="pt-BR"/>
              </w:rPr>
            </w:pPr>
            <w:r>
              <w:rPr>
                <w:b/>
                <w:color w:val="000000"/>
                <w:lang w:val="pt-BR" w:eastAsia="pt-BR"/>
              </w:rPr>
            </w:r>
          </w:p>
        </w:tc>
        <w:tc>
          <w:tcPr>
            <w:tcW w:w="2232"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b/>
                <w:color w:val="000000"/>
                <w:lang w:val="pt-BR" w:eastAsia="pt-BR"/>
              </w:rPr>
            </w:pPr>
            <w:r>
              <w:rPr>
                <w:b/>
                <w:color w:val="000000"/>
                <w:lang w:val="pt-BR" w:eastAsia="pt-BR"/>
              </w:rPr>
            </w:r>
          </w:p>
        </w:tc>
        <w:tc>
          <w:tcPr>
            <w:tcW w:w="2423" w:type="dxa"/>
            <w:tcBorders>
              <w:top w:val="single" w:sz="6" w:space="0" w:color="000000"/>
              <w:start w:val="single" w:sz="6" w:space="0" w:color="000000"/>
              <w:bottom w:val="single" w:sz="2" w:space="0" w:color="000000"/>
              <w:end w:val="single" w:sz="6" w:space="0" w:color="000000"/>
            </w:tcBorders>
          </w:tcPr>
          <w:p>
            <w:pPr>
              <w:pStyle w:val="Normal"/>
              <w:jc w:val="center"/>
              <w:rPr>
                <w:b/>
                <w:color w:val="000000"/>
                <w:lang w:val="pt-BR" w:eastAsia="pt-BR"/>
              </w:rPr>
            </w:pPr>
            <w:r>
              <w:rPr>
                <w:b/>
                <w:color w:val="000000"/>
                <w:lang w:val="pt-BR" w:eastAsia="pt-BR"/>
              </w:rPr>
              <w:t>LIMITS &amp;</w:t>
            </w:r>
          </w:p>
        </w:tc>
        <w:tc>
          <w:tcPr>
            <w:tcW w:w="1896" w:type="dxa"/>
            <w:tcBorders>
              <w:top w:val="single" w:sz="6" w:space="0" w:color="000000"/>
              <w:start w:val="single" w:sz="6" w:space="0" w:color="000000"/>
              <w:bottom w:val="single" w:sz="2" w:space="0" w:color="000000"/>
              <w:end w:val="single" w:sz="6" w:space="0" w:color="000000"/>
            </w:tcBorders>
          </w:tcPr>
          <w:p>
            <w:pPr>
              <w:pStyle w:val="Normal"/>
              <w:jc w:val="center"/>
              <w:rPr>
                <w:b/>
                <w:color w:val="000000"/>
                <w:lang w:val="pt-BR" w:eastAsia="pt-BR"/>
              </w:rPr>
            </w:pPr>
            <w:r>
              <w:rPr>
                <w:b/>
                <w:color w:val="000000"/>
                <w:lang w:val="pt-BR" w:eastAsia="pt-BR"/>
              </w:rPr>
              <w:t>EXPIRATION</w:t>
            </w:r>
          </w:p>
        </w:tc>
        <w:tc>
          <w:tcPr>
            <w:tcW w:w="1824" w:type="dxa"/>
            <w:tcBorders>
              <w:top w:val="single" w:sz="6" w:space="0" w:color="000000"/>
              <w:start w:val="single" w:sz="6" w:space="0" w:color="000000"/>
              <w:bottom w:val="single" w:sz="2" w:space="0" w:color="000000"/>
              <w:end w:val="single" w:sz="6" w:space="0" w:color="000000"/>
            </w:tcBorders>
          </w:tcPr>
          <w:p>
            <w:pPr>
              <w:pStyle w:val="Normal"/>
              <w:jc w:val="center"/>
              <w:rPr>
                <w:b/>
                <w:color w:val="000000"/>
                <w:lang w:val="pt-BR" w:eastAsia="pt-BR"/>
              </w:rPr>
            </w:pPr>
            <w:r>
              <w:rPr>
                <w:b/>
                <w:color w:val="000000"/>
                <w:lang w:val="pt-BR" w:eastAsia="pt-BR"/>
              </w:rPr>
              <w:t>SIGNIFICANT</w:t>
            </w:r>
          </w:p>
        </w:tc>
      </w:tr>
      <w:tr>
        <w:trPr>
          <w:trHeight w:val="250" w:hRule="atLeast"/>
        </w:trPr>
        <w:tc>
          <w:tcPr>
            <w:tcW w:w="2615" w:type="dxa"/>
            <w:tcBorders>
              <w:top w:val="single" w:sz="2" w:space="0" w:color="000000"/>
              <w:start w:val="single" w:sz="6" w:space="0" w:color="000000"/>
              <w:bottom w:val="single" w:sz="6" w:space="0" w:color="000000"/>
              <w:end w:val="single" w:sz="6" w:space="0" w:color="000000"/>
            </w:tcBorders>
          </w:tcPr>
          <w:p>
            <w:pPr>
              <w:pStyle w:val="Normal"/>
              <w:rPr>
                <w:b/>
                <w:color w:val="000000"/>
                <w:lang w:val="pt-BR" w:eastAsia="pt-BR"/>
              </w:rPr>
            </w:pPr>
            <w:r>
              <w:rPr>
                <w:b/>
                <w:color w:val="000000"/>
                <w:lang w:val="pt-BR" w:eastAsia="pt-BR"/>
              </w:rPr>
              <w:t>UNDERWRITER</w:t>
            </w:r>
          </w:p>
        </w:tc>
        <w:tc>
          <w:tcPr>
            <w:tcW w:w="2630" w:type="dxa"/>
            <w:tcBorders>
              <w:top w:val="single" w:sz="2" w:space="0" w:color="000000"/>
              <w:start w:val="single" w:sz="6" w:space="0" w:color="000000"/>
              <w:bottom w:val="single" w:sz="6" w:space="0" w:color="000000"/>
              <w:end w:val="single" w:sz="6" w:space="0" w:color="000000"/>
            </w:tcBorders>
          </w:tcPr>
          <w:p>
            <w:pPr>
              <w:pStyle w:val="Normal"/>
              <w:jc w:val="center"/>
              <w:rPr>
                <w:b/>
                <w:color w:val="000000"/>
                <w:lang w:val="pt-BR" w:eastAsia="pt-BR"/>
              </w:rPr>
            </w:pPr>
            <w:r>
              <w:rPr>
                <w:b/>
                <w:color w:val="000000"/>
                <w:lang w:val="pt-BR" w:eastAsia="pt-BR"/>
              </w:rPr>
              <w:t>RISKS</w:t>
            </w:r>
          </w:p>
        </w:tc>
        <w:tc>
          <w:tcPr>
            <w:tcW w:w="2232" w:type="dxa"/>
            <w:tcBorders>
              <w:top w:val="single" w:sz="2" w:space="0" w:color="000000"/>
              <w:start w:val="single" w:sz="6" w:space="0" w:color="000000"/>
              <w:bottom w:val="single" w:sz="6" w:space="0" w:color="000000"/>
              <w:end w:val="single" w:sz="6" w:space="0" w:color="000000"/>
            </w:tcBorders>
          </w:tcPr>
          <w:p>
            <w:pPr>
              <w:pStyle w:val="Normal"/>
              <w:jc w:val="center"/>
              <w:rPr>
                <w:b/>
                <w:color w:val="000000"/>
                <w:lang w:val="pt-BR" w:eastAsia="pt-BR"/>
              </w:rPr>
            </w:pPr>
            <w:r>
              <w:rPr>
                <w:b/>
                <w:color w:val="000000"/>
                <w:lang w:val="pt-BR" w:eastAsia="pt-BR"/>
              </w:rPr>
              <w:t>COVERAGE</w:t>
            </w:r>
          </w:p>
        </w:tc>
        <w:tc>
          <w:tcPr>
            <w:tcW w:w="2423" w:type="dxa"/>
            <w:tcBorders>
              <w:top w:val="single" w:sz="2" w:space="0" w:color="000000"/>
              <w:start w:val="single" w:sz="6" w:space="0" w:color="000000"/>
              <w:bottom w:val="single" w:sz="6" w:space="0" w:color="000000"/>
              <w:end w:val="single" w:sz="6" w:space="0" w:color="000000"/>
            </w:tcBorders>
          </w:tcPr>
          <w:p>
            <w:pPr>
              <w:pStyle w:val="Normal"/>
              <w:jc w:val="center"/>
              <w:rPr>
                <w:b/>
                <w:color w:val="000000"/>
                <w:lang w:val="pt-BR" w:eastAsia="pt-BR"/>
              </w:rPr>
            </w:pPr>
            <w:r>
              <w:rPr>
                <w:b/>
                <w:color w:val="000000"/>
                <w:lang w:val="pt-BR" w:eastAsia="pt-BR"/>
              </w:rPr>
              <w:t>DEDUCTIBLES</w:t>
            </w:r>
          </w:p>
        </w:tc>
        <w:tc>
          <w:tcPr>
            <w:tcW w:w="1896" w:type="dxa"/>
            <w:tcBorders>
              <w:top w:val="single" w:sz="2" w:space="0" w:color="000000"/>
              <w:start w:val="single" w:sz="6" w:space="0" w:color="000000"/>
              <w:bottom w:val="single" w:sz="6" w:space="0" w:color="000000"/>
              <w:end w:val="single" w:sz="6" w:space="0" w:color="000000"/>
            </w:tcBorders>
          </w:tcPr>
          <w:p>
            <w:pPr>
              <w:pStyle w:val="Normal"/>
              <w:jc w:val="center"/>
              <w:rPr>
                <w:b/>
                <w:color w:val="000000"/>
                <w:lang w:val="pt-BR" w:eastAsia="pt-BR"/>
              </w:rPr>
            </w:pPr>
            <w:r>
              <w:rPr>
                <w:b/>
                <w:color w:val="000000"/>
                <w:lang w:val="pt-BR" w:eastAsia="pt-BR"/>
              </w:rPr>
              <w:t>DATES</w:t>
            </w:r>
          </w:p>
        </w:tc>
        <w:tc>
          <w:tcPr>
            <w:tcW w:w="1824" w:type="dxa"/>
            <w:tcBorders>
              <w:top w:val="single" w:sz="2" w:space="0" w:color="000000"/>
              <w:start w:val="single" w:sz="6" w:space="0" w:color="000000"/>
              <w:bottom w:val="single" w:sz="6" w:space="0" w:color="000000"/>
              <w:end w:val="single" w:sz="6" w:space="0" w:color="000000"/>
            </w:tcBorders>
          </w:tcPr>
          <w:p>
            <w:pPr>
              <w:pStyle w:val="Normal"/>
              <w:jc w:val="center"/>
              <w:rPr>
                <w:b/>
                <w:color w:val="000000"/>
                <w:lang w:val="pt-BR" w:eastAsia="pt-BR"/>
              </w:rPr>
            </w:pPr>
            <w:r>
              <w:rPr>
                <w:b/>
                <w:color w:val="000000"/>
                <w:lang w:val="pt-BR" w:eastAsia="pt-BR"/>
              </w:rPr>
              <w:t>RIDERS</w:t>
            </w:r>
          </w:p>
        </w:tc>
      </w:tr>
      <w:tr>
        <w:trPr>
          <w:trHeight w:val="250" w:hRule="atLeast"/>
        </w:trPr>
        <w:tc>
          <w:tcPr>
            <w:tcW w:w="2615" w:type="dxa"/>
            <w:tcBorders>
              <w:top w:val="single" w:sz="6" w:space="0" w:color="000000"/>
              <w:start w:val="single" w:sz="6" w:space="0" w:color="000000"/>
              <w:bottom w:val="single" w:sz="2" w:space="0" w:color="000000"/>
              <w:end w:val="single" w:sz="6" w:space="0" w:color="000000"/>
            </w:tcBorders>
          </w:tcPr>
          <w:p>
            <w:pPr>
              <w:pStyle w:val="Normal"/>
              <w:snapToGrid w:val="false"/>
              <w:jc w:val="end"/>
              <w:rPr>
                <w:b/>
                <w:color w:val="000000"/>
                <w:lang w:val="pt-BR" w:eastAsia="pt-BR"/>
              </w:rPr>
            </w:pPr>
            <w:r>
              <w:rPr>
                <w:b/>
                <w:color w:val="000000"/>
                <w:lang w:val="pt-BR" w:eastAsia="pt-BR"/>
              </w:rPr>
            </w:r>
          </w:p>
        </w:tc>
        <w:tc>
          <w:tcPr>
            <w:tcW w:w="2630"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val="pt-BR" w:eastAsia="pt-BR"/>
              </w:rPr>
            </w:pPr>
            <w:r>
              <w:rPr>
                <w:color w:val="000000"/>
                <w:lang w:val="pt-BR" w:eastAsia="pt-BR"/>
              </w:rPr>
            </w:r>
          </w:p>
        </w:tc>
        <w:tc>
          <w:tcPr>
            <w:tcW w:w="2232"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val="pt-BR" w:eastAsia="pt-BR"/>
              </w:rPr>
            </w:pPr>
            <w:r>
              <w:rPr>
                <w:color w:val="000000"/>
                <w:lang w:val="pt-BR" w:eastAsia="pt-BR"/>
              </w:rPr>
            </w:r>
          </w:p>
        </w:tc>
        <w:tc>
          <w:tcPr>
            <w:tcW w:w="2423"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val="pt-BR" w:eastAsia="pt-BR"/>
              </w:rPr>
            </w:pPr>
            <w:r>
              <w:rPr>
                <w:color w:val="000000"/>
                <w:lang w:val="pt-BR" w:eastAsia="pt-BR"/>
              </w:rPr>
            </w:r>
          </w:p>
        </w:tc>
        <w:tc>
          <w:tcPr>
            <w:tcW w:w="1896"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val="pt-BR" w:eastAsia="pt-BR"/>
              </w:rPr>
            </w:pPr>
            <w:r>
              <w:rPr>
                <w:color w:val="000000"/>
                <w:lang w:val="pt-BR" w:eastAsia="pt-BR"/>
              </w:rPr>
            </w:r>
          </w:p>
        </w:tc>
        <w:tc>
          <w:tcPr>
            <w:tcW w:w="1824"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lang w:val="pt-BR" w:eastAsia="pt-BR"/>
              </w:rPr>
            </w:pPr>
            <w:r>
              <w:rPr>
                <w:color w:val="000000"/>
                <w:lang w:val="pt-BR"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AGF Brasil Seguros</w:t>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Operational All Risks.</w:t>
            </w:r>
          </w:p>
        </w:tc>
        <w:tc>
          <w:tcPr>
            <w:tcW w:w="2232"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R$46,200,000</w:t>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Deductibles:</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25,1999</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Policy No. 13.11.0004643</w:t>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Physical loss or damage to</w:t>
            </w:r>
          </w:p>
        </w:tc>
        <w:tc>
          <w:tcPr>
            <w:tcW w:w="2232"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for Material Damage</w:t>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Mat. Dam.: R$587,500</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to</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owned facilities including</w:t>
            </w:r>
          </w:p>
        </w:tc>
        <w:tc>
          <w:tcPr>
            <w:tcW w:w="2232" w:type="dxa"/>
            <w:tcBorders>
              <w:top w:val="single" w:sz="2" w:space="0" w:color="000000"/>
              <w:start w:val="single" w:sz="6" w:space="0" w:color="000000"/>
              <w:bottom w:val="single" w:sz="2" w:space="0" w:color="000000"/>
              <w:end w:val="single" w:sz="6" w:space="0" w:color="000000"/>
            </w:tcBorders>
          </w:tcPr>
          <w:p>
            <w:pPr>
              <w:pStyle w:val="Normal"/>
              <w:jc w:val="start"/>
              <w:rPr>
                <w:color w:val="000000"/>
                <w:lang w:eastAsia="pt-BR"/>
              </w:rPr>
            </w:pPr>
            <w:r>
              <w:rPr>
                <w:color w:val="000000"/>
                <w:lang w:eastAsia="pt-BR"/>
              </w:rPr>
              <w:t>&amp; Business Interruption</w:t>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Bus. Int.: 10 days</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25, 2000</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Business Interruption</w:t>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Other Events: 14 days</w:t>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Unibanco Seguros</w:t>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Protection against liability</w:t>
            </w:r>
          </w:p>
        </w:tc>
        <w:tc>
          <w:tcPr>
            <w:tcW w:w="2232"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R$965,550</w:t>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Deductible: 10% of</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25,1999</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Policy No. 1020023730</w:t>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to third parties (primary).</w:t>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amount of loss.</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to</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Minimum of R$2,896.65</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25, 2000</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of any operational claim.</w:t>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jc w:val="start"/>
              <w:rPr>
                <w:color w:val="000000"/>
                <w:lang w:eastAsia="pt-BR"/>
              </w:rPr>
            </w:pPr>
            <w:r>
              <w:rPr>
                <w:color w:val="000000"/>
                <w:lang w:eastAsia="pt-BR"/>
              </w:rPr>
              <w:t>Minimum of R$19,311.00</w:t>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of any claim for dam</w:t>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coverage.</w:t>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Itau Seguros</w:t>
            </w:r>
          </w:p>
        </w:tc>
        <w:tc>
          <w:tcPr>
            <w:tcW w:w="2630"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Protection against liability</w:t>
            </w:r>
          </w:p>
        </w:tc>
        <w:tc>
          <w:tcPr>
            <w:tcW w:w="2232"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US$35,000,000</w:t>
            </w:r>
          </w:p>
        </w:tc>
        <w:tc>
          <w:tcPr>
            <w:tcW w:w="2423" w:type="dxa"/>
            <w:tcBorders>
              <w:top w:val="single" w:sz="2" w:space="0" w:color="000000"/>
              <w:start w:val="single" w:sz="6" w:space="0" w:color="000000"/>
              <w:bottom w:val="single" w:sz="2" w:space="0" w:color="000000"/>
              <w:end w:val="single" w:sz="6" w:space="0" w:color="000000"/>
            </w:tcBorders>
          </w:tcPr>
          <w:p>
            <w:pPr>
              <w:pStyle w:val="Normal"/>
              <w:keepNext w:val="true"/>
              <w:jc w:val="center"/>
              <w:rPr>
                <w:color w:val="000000"/>
                <w:lang w:eastAsia="pt-BR"/>
              </w:rPr>
            </w:pPr>
            <w:r>
              <w:rPr>
                <w:color w:val="000000"/>
                <w:lang w:eastAsia="pt-BR"/>
              </w:rPr>
              <w:t>Deductible: US$500,000</w:t>
            </w:r>
          </w:p>
        </w:tc>
        <w:tc>
          <w:tcPr>
            <w:tcW w:w="1896" w:type="dxa"/>
            <w:tcBorders>
              <w:top w:val="single" w:sz="2" w:space="0" w:color="000000"/>
              <w:start w:val="single" w:sz="6" w:space="0" w:color="000000"/>
              <w:bottom w:val="single" w:sz="2" w:space="0" w:color="000000"/>
              <w:end w:val="single" w:sz="6" w:space="0" w:color="000000"/>
            </w:tcBorders>
          </w:tcPr>
          <w:p>
            <w:pPr>
              <w:pStyle w:val="Normal"/>
              <w:keepNext w:val="true"/>
              <w:jc w:val="center"/>
              <w:rPr>
                <w:color w:val="000000"/>
                <w:lang w:eastAsia="pt-BR"/>
              </w:rPr>
            </w:pPr>
            <w:r>
              <w:rPr>
                <w:color w:val="000000"/>
                <w:lang w:eastAsia="pt-BR"/>
              </w:rPr>
              <w:t>Aug. 25,1999</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Policy No. 15140011760</w:t>
            </w:r>
          </w:p>
        </w:tc>
        <w:tc>
          <w:tcPr>
            <w:tcW w:w="2630"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to third parties (excess).</w:t>
            </w:r>
          </w:p>
        </w:tc>
        <w:tc>
          <w:tcPr>
            <w:tcW w:w="2232"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excess of US$500,000</w:t>
            </w:r>
          </w:p>
        </w:tc>
        <w:tc>
          <w:tcPr>
            <w:tcW w:w="2423" w:type="dxa"/>
            <w:tcBorders>
              <w:top w:val="single" w:sz="2" w:space="0" w:color="000000"/>
              <w:start w:val="single" w:sz="6" w:space="0" w:color="000000"/>
              <w:bottom w:val="single" w:sz="2" w:space="0" w:color="000000"/>
              <w:end w:val="single" w:sz="6" w:space="0" w:color="000000"/>
            </w:tcBorders>
          </w:tcPr>
          <w:p>
            <w:pPr>
              <w:pStyle w:val="Normal"/>
              <w:keepNext w:val="true"/>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keepNext w:val="true"/>
              <w:jc w:val="center"/>
              <w:rPr>
                <w:color w:val="000000"/>
                <w:lang w:eastAsia="pt-BR"/>
              </w:rPr>
            </w:pPr>
            <w:r>
              <w:rPr>
                <w:color w:val="000000"/>
                <w:lang w:eastAsia="pt-BR"/>
              </w:rPr>
              <w:t>to</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keepNext w:val="true"/>
              <w:rPr>
                <w:color w:val="000000"/>
                <w:lang w:eastAsia="pt-BR"/>
              </w:rPr>
            </w:pPr>
            <w:r>
              <w:rPr>
                <w:color w:val="000000"/>
                <w:lang w:eastAsia="pt-BR"/>
              </w:rPr>
              <w:t>100% AEGIS Reinsurance</w:t>
            </w:r>
          </w:p>
        </w:tc>
        <w:tc>
          <w:tcPr>
            <w:tcW w:w="2630" w:type="dxa"/>
            <w:tcBorders>
              <w:top w:val="single" w:sz="2" w:space="0" w:color="000000"/>
              <w:start w:val="single" w:sz="6" w:space="0" w:color="000000"/>
              <w:bottom w:val="single" w:sz="2" w:space="0" w:color="000000"/>
              <w:end w:val="single" w:sz="6" w:space="0" w:color="000000"/>
            </w:tcBorders>
          </w:tcPr>
          <w:p>
            <w:pPr>
              <w:pStyle w:val="Normal"/>
              <w:keepNext w:val="true"/>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keepNext w:val="true"/>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keepNext w:val="true"/>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keepNext w:val="true"/>
              <w:jc w:val="center"/>
              <w:rPr>
                <w:color w:val="000000"/>
                <w:lang w:eastAsia="pt-BR"/>
              </w:rPr>
            </w:pPr>
            <w:r>
              <w:rPr>
                <w:color w:val="000000"/>
                <w:lang w:eastAsia="pt-BR"/>
              </w:rPr>
              <w:t>Aug. 25, 2000</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Policy No. X0693A1A99</w:t>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lang w:eastAsia="pt-BR"/>
              </w:rPr>
            </w:pPr>
            <w:r>
              <w:rPr>
                <w:color w:val="000000"/>
                <w:lang w:eastAsia="pt-BR"/>
              </w:rPr>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Automobile Liability (1)</w:t>
            </w:r>
          </w:p>
        </w:tc>
        <w:tc>
          <w:tcPr>
            <w:tcW w:w="2630"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Auto Liability</w:t>
            </w:r>
          </w:p>
        </w:tc>
        <w:tc>
          <w:tcPr>
            <w:tcW w:w="2232"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R$1,000,000 combined</w:t>
            </w:r>
          </w:p>
        </w:tc>
        <w:tc>
          <w:tcPr>
            <w:tcW w:w="2423"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N/A</w:t>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7,1999</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AGF Brasil Seguros</w:t>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 xml:space="preserve">over both bodily injury </w:t>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to</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Policy No. 13.53.0000143</w:t>
            </w:r>
          </w:p>
        </w:tc>
        <w:tc>
          <w:tcPr>
            <w:tcW w:w="263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2232" w:type="dxa"/>
            <w:tcBorders>
              <w:top w:val="single" w:sz="2" w:space="0" w:color="000000"/>
              <w:start w:val="single" w:sz="6" w:space="0" w:color="000000"/>
              <w:bottom w:val="single" w:sz="2" w:space="0" w:color="000000"/>
              <w:end w:val="single" w:sz="6" w:space="0" w:color="000000"/>
            </w:tcBorders>
          </w:tcPr>
          <w:p>
            <w:pPr>
              <w:pStyle w:val="Normal"/>
              <w:rPr>
                <w:color w:val="000000"/>
                <w:lang w:eastAsia="pt-BR"/>
              </w:rPr>
            </w:pPr>
            <w:r>
              <w:rPr>
                <w:color w:val="000000"/>
                <w:lang w:eastAsia="pt-BR"/>
              </w:rPr>
              <w:t>and property damage.</w:t>
            </w:r>
          </w:p>
        </w:tc>
        <w:tc>
          <w:tcPr>
            <w:tcW w:w="2423"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c>
          <w:tcPr>
            <w:tcW w:w="1896" w:type="dxa"/>
            <w:tcBorders>
              <w:top w:val="single" w:sz="2" w:space="0" w:color="000000"/>
              <w:start w:val="single" w:sz="6" w:space="0" w:color="000000"/>
              <w:bottom w:val="single" w:sz="2" w:space="0" w:color="000000"/>
              <w:end w:val="single" w:sz="6" w:space="0" w:color="000000"/>
            </w:tcBorders>
          </w:tcPr>
          <w:p>
            <w:pPr>
              <w:pStyle w:val="Normal"/>
              <w:jc w:val="center"/>
              <w:rPr>
                <w:color w:val="000000"/>
                <w:lang w:eastAsia="pt-BR"/>
              </w:rPr>
            </w:pPr>
            <w:r>
              <w:rPr>
                <w:color w:val="000000"/>
                <w:lang w:eastAsia="pt-BR"/>
              </w:rPr>
              <w:t>Aug. 7, 2000</w:t>
            </w:r>
          </w:p>
        </w:tc>
        <w:tc>
          <w:tcPr>
            <w:tcW w:w="1824"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2630"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2232"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2423"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1896"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1824" w:type="dxa"/>
            <w:tcBorders>
              <w:top w:val="single" w:sz="6"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13620" w:type="dxa"/>
            <w:gridSpan w:val="6"/>
            <w:tcBorders>
              <w:top w:val="single" w:sz="2" w:space="0" w:color="000000"/>
              <w:start w:val="single" w:sz="2" w:space="0" w:color="000000"/>
              <w:bottom w:val="single" w:sz="2" w:space="0" w:color="000000"/>
              <w:end w:val="single" w:sz="2" w:space="0" w:color="000000"/>
            </w:tcBorders>
          </w:tcPr>
          <w:p>
            <w:pPr>
              <w:pStyle w:val="Normal"/>
              <w:rPr>
                <w:color w:val="000000"/>
                <w:lang w:eastAsia="pt-BR"/>
              </w:rPr>
            </w:pPr>
            <w:r>
              <w:rPr>
                <w:color w:val="000000"/>
                <w:lang w:eastAsia="pt-BR"/>
              </w:rPr>
              <w:t>(1) This policy was placed with a Trigger System, so it is subject to additional premium payments depending on the loss experience: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9181" w:type="dxa"/>
            <w:gridSpan w:val="4"/>
            <w:tcBorders>
              <w:top w:val="single" w:sz="2" w:space="0" w:color="000000"/>
              <w:start w:val="single" w:sz="2" w:space="0" w:color="000000"/>
              <w:bottom w:val="single" w:sz="2" w:space="0" w:color="000000"/>
              <w:end w:val="single" w:sz="2" w:space="0" w:color="000000"/>
            </w:tcBorders>
          </w:tcPr>
          <w:p>
            <w:pPr>
              <w:pStyle w:val="Normal"/>
              <w:rPr>
                <w:color w:val="000000"/>
                <w:lang w:eastAsia="pt-BR"/>
              </w:rPr>
            </w:pPr>
            <w:r>
              <w:rPr>
                <w:color w:val="000000"/>
                <w:lang w:eastAsia="pt-BR"/>
              </w:rPr>
              <w:t>1st Trigger - if loss exceed R$ 74,243, there will be an additional premium of R$ 107,350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18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r>
      <w:tr>
        <w:trPr>
          <w:trHeight w:val="250" w:hRule="atLeast"/>
        </w:trPr>
        <w:tc>
          <w:tcPr>
            <w:tcW w:w="261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9181" w:type="dxa"/>
            <w:gridSpan w:val="4"/>
            <w:tcBorders>
              <w:top w:val="single" w:sz="2" w:space="0" w:color="000000"/>
              <w:start w:val="single" w:sz="2" w:space="0" w:color="000000"/>
              <w:bottom w:val="single" w:sz="2" w:space="0" w:color="000000"/>
              <w:end w:val="single" w:sz="2" w:space="0" w:color="000000"/>
            </w:tcBorders>
          </w:tcPr>
          <w:p>
            <w:pPr>
              <w:pStyle w:val="Normal"/>
              <w:rPr>
                <w:color w:val="000000"/>
                <w:lang w:eastAsia="pt-BR"/>
              </w:rPr>
            </w:pPr>
            <w:r>
              <w:rPr>
                <w:color w:val="000000"/>
                <w:lang w:eastAsia="pt-BR"/>
              </w:rPr>
              <w:t>2nd Trigger - if losses exceed R$ 129,924 there will be an additional premium of R$ 107,350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c>
          <w:tcPr>
            <w:tcW w:w="18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pt-BR"/>
              </w:rPr>
            </w:pPr>
            <w:r>
              <w:rPr>
                <w:color w:val="000000"/>
                <w:lang w:eastAsia="pt-BR"/>
              </w:rPr>
            </w:r>
          </w:p>
        </w:tc>
      </w:tr>
    </w:tbl>
    <w:p>
      <w:pPr>
        <w:pStyle w:val="Normal"/>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default" r:id="rId16"/>
          <w:headerReference w:type="first" r:id="rId17"/>
          <w:footerReference w:type="default" r:id="rId18"/>
          <w:footerReference w:type="first" r:id="rId19"/>
          <w:footnotePr>
            <w:numFmt w:val="decimal"/>
          </w:footnotePr>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in Schedules 5.12(b) and (c) to this Parent Disclosure Letter) are hereby incorporated in this Schedule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w:t>
        <w:tab/>
        <w:t>A delay under the electrification programs on rural areas:  Programa Luz da Terra e Programa Luz do Campo.  Decree 41187 established that Elektro was committed to connecting 22,970 customers in the “Luz de Terra” Program.  Elektro and other LOC’s were unable to satisfy the requirements of Decree 41187, due to, among other reasons, the lack of government financing to carry out Decree 41187.  In November 1999, Elektro presented to CSPE [to be defined] a new schedule with a commitment to connecting another 16,000 customers by 2003, increasing the total number of connections to 26,866.  The extension of this commitment has not be formalized, but Elektro believes the Federal Government will approve the commitment, which will be funded by Elektrobras.  Elektro has not been penalized for not meeting the target of Decree 41187.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B.</w:t>
        <w:tab/>
        <w:t xml:space="preserve">Refer to the write up (Portuguese):  Programas de Eletrificação Rural - Situacional of June 15, 2000 </w:t>
      </w:r>
      <w:r>
        <w:rPr>
          <w:b/>
        </w:rPr>
        <w:t>[Company to provide brief explanation]</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SIGNIFICANT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This Schedule sets forth a list of all Significant Suretyship Arrangements and identifies the surety in such arrangement, whether that be the Parent or a Retained Subsidiary </w:t>
      </w:r>
      <w:r>
        <w:rPr>
          <w:b/>
        </w:rPr>
        <w:t>[Company to identify surety in each]</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720" w:end="0"/>
        <w:rPr/>
      </w:pPr>
      <w:r>
        <w:rPr/>
        <w:t>1.</w:t>
        <w:tab/>
        <w:t>Fundação Cesp</w:t>
      </w:r>
    </w:p>
    <w:p>
      <w:pPr>
        <w:pStyle w:val="Normal"/>
        <w:ind w:hanging="720" w:start="720" w:end="0"/>
        <w:rPr/>
      </w:pPr>
      <w:r>
        <w:rPr/>
      </w:r>
    </w:p>
    <w:p>
      <w:pPr>
        <w:pStyle w:val="Normal"/>
        <w:ind w:hanging="720" w:start="720" w:end="0"/>
        <w:rPr/>
      </w:pPr>
      <w:r>
        <w:rPr/>
        <w:t>2.</w:t>
        <w:tab/>
        <w:t>Annex VI to the Power Purchase Agreement with Paranapanema</w:t>
      </w:r>
    </w:p>
    <w:p>
      <w:pPr>
        <w:pStyle w:val="Normal"/>
        <w:ind w:hanging="720" w:start="720" w:end="0"/>
        <w:rPr/>
      </w:pPr>
      <w:r>
        <w:rPr/>
      </w:r>
    </w:p>
    <w:p>
      <w:pPr>
        <w:pStyle w:val="Normal"/>
        <w:ind w:hanging="720" w:start="720" w:end="0"/>
        <w:rPr/>
      </w:pPr>
      <w:r>
        <w:rPr/>
        <w:t>3.</w:t>
        <w:tab/>
        <w:t>Annex VI Power Purchase Agreement with Tietê</w:t>
      </w:r>
    </w:p>
    <w:p>
      <w:pPr>
        <w:pStyle w:val="Normal"/>
        <w:ind w:hanging="720" w:start="720" w:end="0"/>
        <w:rPr/>
      </w:pPr>
      <w:r>
        <w:rPr/>
      </w:r>
    </w:p>
    <w:p>
      <w:pPr>
        <w:pStyle w:val="Normal"/>
        <w:ind w:hanging="720" w:start="720" w:end="0"/>
        <w:rPr/>
      </w:pPr>
      <w:r>
        <w:rPr/>
        <w:t>4.</w:t>
        <w:tab/>
        <w:t>Draft of the Annex IV to the Contrato de Conexão ao Sistema de Transmissão to be signed with CTEEP - Companhia de Transmissão de Energia Elétrica Paulista</w:t>
      </w:r>
    </w:p>
    <w:p>
      <w:pPr>
        <w:pStyle w:val="Normal"/>
        <w:ind w:hanging="720" w:start="720" w:end="0"/>
        <w:rPr/>
      </w:pPr>
      <w:r>
        <w:rPr/>
      </w:r>
    </w:p>
    <w:p>
      <w:pPr>
        <w:pStyle w:val="Normal"/>
        <w:ind w:hanging="720" w:start="720" w:end="0"/>
        <w:rPr/>
      </w:pPr>
      <w:r>
        <w:rPr/>
        <w:t>5.</w:t>
        <w:tab/>
        <w:t>Power Purchase Agreement with CESP of September 13, 1999</w:t>
      </w:r>
    </w:p>
    <w:p>
      <w:pPr>
        <w:pStyle w:val="Normal"/>
        <w:ind w:hanging="720" w:start="720" w:end="0"/>
        <w:rPr/>
      </w:pPr>
      <w:r>
        <w:rPr/>
      </w:r>
    </w:p>
    <w:p>
      <w:pPr>
        <w:pStyle w:val="Normal"/>
        <w:ind w:hanging="720" w:start="720" w:end="0"/>
        <w:rPr/>
      </w:pPr>
      <w:r>
        <w:rPr/>
        <w:t>6.</w:t>
        <w:tab/>
        <w:t>CUST – Contrato de Uso do Sistema de Transmissão c/  ONS</w:t>
      </w:r>
    </w:p>
    <w:p>
      <w:pPr>
        <w:pStyle w:val="Normal"/>
        <w:ind w:hanging="720" w:start="720" w:end="0"/>
        <w:rPr/>
      </w:pPr>
      <w:r>
        <w:rPr/>
      </w:r>
    </w:p>
    <w:p>
      <w:pPr>
        <w:pStyle w:val="Normal"/>
        <w:ind w:hanging="720" w:start="720" w:end="0"/>
        <w:rPr/>
      </w:pPr>
      <w:r>
        <w:rPr/>
        <w:t>7.</w:t>
        <w:tab/>
        <w:t xml:space="preserve">Power Purchase Agreement with CESP (Itaipú Power) of November 6, 1999 and related documents </w:t>
      </w:r>
      <w:r>
        <w:rPr>
          <w:b/>
        </w:rPr>
        <w:t>[These agreements have expired, no contract is presently in effect (currently regulated by ANEEL) and a new contract will be executed in the future] [Company to reconfirm this statement]</w:t>
      </w:r>
      <w:r>
        <w:rPr/>
        <w:t>:</w:t>
      </w:r>
    </w:p>
    <w:p>
      <w:pPr>
        <w:pStyle w:val="Normal"/>
        <w:ind w:hanging="720" w:start="1440" w:end="0"/>
        <w:rPr/>
      </w:pPr>
      <w:r>
        <w:rPr/>
      </w:r>
    </w:p>
    <w:p>
      <w:pPr>
        <w:pStyle w:val="Normal"/>
        <w:tabs>
          <w:tab w:val="clear" w:pos="720"/>
          <w:tab w:val="left" w:pos="1740" w:leader="none"/>
        </w:tabs>
        <w:ind w:hanging="720" w:start="1440" w:end="0"/>
        <w:rPr/>
      </w:pPr>
      <w:r>
        <w:rPr/>
        <w:t>(a)</w:t>
        <w:tab/>
        <w:t>ANEEL Resolution 215 of June 23, 1999</w:t>
      </w:r>
    </w:p>
    <w:p>
      <w:pPr>
        <w:pStyle w:val="Normal"/>
        <w:tabs>
          <w:tab w:val="clear" w:pos="720"/>
          <w:tab w:val="left" w:pos="1740" w:leader="none"/>
        </w:tabs>
        <w:ind w:hanging="720" w:start="1440" w:end="0"/>
        <w:rPr/>
      </w:pPr>
      <w:r>
        <w:rPr/>
        <w:t>(b)</w:t>
        <w:tab/>
        <w:t>ANEEL Resolution 101 of May 10, 1999</w:t>
      </w:r>
    </w:p>
    <w:p>
      <w:pPr>
        <w:pStyle w:val="Normal"/>
        <w:tabs>
          <w:tab w:val="clear" w:pos="720"/>
          <w:tab w:val="left" w:pos="1740" w:leader="none"/>
        </w:tabs>
        <w:ind w:hanging="720" w:start="1440" w:end="0"/>
        <w:rPr/>
      </w:pPr>
      <w:r>
        <w:rPr/>
        <w:t>(c)</w:t>
        <w:tab/>
        <w:t>Fax ANEEL # 09/2000-DR/ANEEL of February 22, 2000</w:t>
      </w:r>
    </w:p>
    <w:p>
      <w:pPr>
        <w:pStyle w:val="Normal"/>
        <w:tabs>
          <w:tab w:val="clear" w:pos="720"/>
          <w:tab w:val="left" w:pos="1740" w:leader="none"/>
        </w:tabs>
        <w:ind w:hanging="720" w:start="1440" w:end="0"/>
        <w:rPr/>
      </w:pPr>
      <w:r>
        <w:rPr/>
        <w:t>(d)</w:t>
        <w:tab/>
        <w:t>Letter from FURNAS dated July 27, 1999 with draft of the new agreement (contrato # 12902) for the Itaipú power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t>I.</w:t>
        <w:tab/>
        <w:t>None, other than matters disclosed in Schedule 7.02(b)(i)(C) and Schedule 7.02(b)(ii)(A).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5.12(a)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720" w:end="0"/>
        <w:rPr/>
      </w:pPr>
      <w:r>
        <w:rPr/>
        <w:t>1.</w:t>
        <w:tab/>
        <w:t>Environmental licenses required as per CONAMA (Conselho Nacional de Meio Ambiente) Resolution #06 / 87 for 113 energy transmission lines built before 1998 (formerly owned by CESP).</w:t>
      </w:r>
    </w:p>
    <w:p>
      <w:pPr>
        <w:pStyle w:val="Normal"/>
        <w:ind w:hanging="720" w:start="720" w:end="0"/>
        <w:rPr/>
      </w:pPr>
      <w:r>
        <w:rPr/>
      </w:r>
    </w:p>
    <w:p>
      <w:pPr>
        <w:pStyle w:val="Normal"/>
        <w:ind w:hanging="720" w:start="720" w:end="0"/>
        <w:rPr/>
      </w:pPr>
      <w:r>
        <w:rPr/>
        <w:t>2.</w:t>
        <w:tab/>
        <w:t xml:space="preserve">CONAMA Res.06/87.  </w:t>
      </w:r>
      <w:r>
        <w:rPr>
          <w:b/>
        </w:rPr>
        <w:t>[Company to provide additional information; also confirm document is contained in data room.]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ENVIRONMENTAL AUDITS AND STUDIES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all material and external environmental audits and studies prepared since December 31,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rPr>
        <w:t>[Company to provide list.  VE to confirm all items on list are in Data Room.]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This Schedule sets forth qualifications of the representation and warranty contained in Section 5.13 of the Agreement relating to litigation: </w:t>
      </w:r>
      <w:r>
        <w:rPr>
          <w:b/>
        </w:rPr>
        <w:t>[Confirmation to come from Bob Williams]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pPr>
      <w:r>
        <w:rPr/>
      </w:r>
    </w:p>
    <w:p>
      <w:pPr>
        <w:pStyle w:val="Normal"/>
        <w:numPr>
          <w:ilvl w:val="0"/>
          <w:numId w:val="2"/>
        </w:numPr>
        <w:tabs>
          <w:tab w:val="left" w:pos="720" w:leader="none"/>
        </w:tabs>
        <w:rPr/>
      </w:pPr>
      <w:r>
        <w:rPr/>
        <w:t>Jamil Murad et al. v. State of Sao Paulo Treasury, CESP, the President of CESP, Energia Total do Brasil Ltda., Enron Investimentos Energeticos Ltda., Empresa Paranaense Comercializadora Ltda., and Enron Servicos do Brasil Ltda. (7</w:t>
      </w:r>
      <w:r>
        <w:rPr>
          <w:vertAlign w:val="superscript"/>
        </w:rPr>
        <w:t>th</w:t>
      </w:r>
      <w:r>
        <w:rPr/>
        <w:t xml:space="preserve"> District Court of Sao Paulo Municipal Treasury) (suit to set aside purchase of preferred shares in Elektro)</w:t>
      </w:r>
    </w:p>
    <w:p>
      <w:pPr>
        <w:pStyle w:val="Normal"/>
        <w:rPr/>
      </w:pPr>
      <w:r>
        <w:rPr/>
      </w:r>
    </w:p>
    <w:p>
      <w:pPr>
        <w:pStyle w:val="Normal"/>
        <w:numPr>
          <w:ilvl w:val="0"/>
          <w:numId w:val="2"/>
        </w:numPr>
        <w:tabs>
          <w:tab w:val="left" w:pos="720" w:leader="none"/>
        </w:tabs>
        <w:rPr/>
      </w:pPr>
      <w:r>
        <w:rPr/>
        <w:t>Amarildo Bolito et al. v. State Public Treasury, Companhia Energetica de Sao Paulo, individual members of the Board of PED, and Enron Servicos do Brasil Ltda. (8</w:t>
      </w:r>
      <w:r>
        <w:rPr>
          <w:vertAlign w:val="superscript"/>
        </w:rPr>
        <w:t>th</w:t>
      </w:r>
      <w:r>
        <w:rPr/>
        <w:t xml:space="preserve"> District Court of Sao Paulo Municipal Treasury) (suit to set aside purchase of Elektro controlling shares)</w:t>
      </w:r>
    </w:p>
    <w:p>
      <w:pPr>
        <w:pStyle w:val="Normal"/>
        <w:rPr/>
      </w:pPr>
      <w:r>
        <w:rPr/>
      </w:r>
    </w:p>
    <w:p>
      <w:pPr>
        <w:pStyle w:val="Normal"/>
        <w:numPr>
          <w:ilvl w:val="0"/>
          <w:numId w:val="2"/>
        </w:numPr>
        <w:tabs>
          <w:tab w:val="left" w:pos="720" w:leader="none"/>
        </w:tabs>
        <w:rPr/>
      </w:pPr>
      <w:r>
        <w:rPr/>
        <w:t>Price Overcharge Suits (State Court, Sao Paulo) (several suits seeking cumulatively less than R$4.7 million on claims CESP overcharged for gas)</w:t>
      </w:r>
    </w:p>
    <w:p>
      <w:pPr>
        <w:pStyle w:val="Normal"/>
        <w:rPr/>
      </w:pPr>
      <w:r>
        <w:rPr/>
      </w:r>
    </w:p>
    <w:p>
      <w:pPr>
        <w:pStyle w:val="Normal"/>
        <w:numPr>
          <w:ilvl w:val="0"/>
          <w:numId w:val="2"/>
        </w:numPr>
        <w:tabs>
          <w:tab w:val="left" w:pos="720" w:leader="none"/>
        </w:tabs>
        <w:rPr/>
      </w:pPr>
      <w:r>
        <w:rPr/>
        <w:t>Brazilian Institute for Consumer Defense v. Elektro et al. (5</w:t>
      </w:r>
      <w:r>
        <w:rPr>
          <w:vertAlign w:val="superscript"/>
        </w:rPr>
        <w:t>th</w:t>
      </w:r>
      <w:r>
        <w:rPr/>
        <w:t xml:space="preserve"> Federal Court, Sao Paulo) (suit to enjoin 16.34% tariff increase)</w:t>
      </w:r>
    </w:p>
    <w:p>
      <w:pPr>
        <w:pStyle w:val="Normal"/>
        <w:rPr/>
      </w:pPr>
      <w:r>
        <w:rPr/>
      </w:r>
    </w:p>
    <w:p>
      <w:pPr>
        <w:pStyle w:val="Normal"/>
        <w:numPr>
          <w:ilvl w:val="0"/>
          <w:numId w:val="2"/>
        </w:numPr>
        <w:tabs>
          <w:tab w:val="left" w:pos="720" w:leader="none"/>
        </w:tabs>
        <w:rPr/>
      </w:pPr>
      <w:r>
        <w:rPr/>
        <w:t>Elektro v. Agreste Construtora e Agricola Ltda.v. Elektro (5</w:t>
      </w:r>
      <w:r>
        <w:rPr>
          <w:vertAlign w:val="superscript"/>
        </w:rPr>
        <w:t>th</w:t>
      </w:r>
      <w:r>
        <w:rPr/>
        <w:t xml:space="preserve"> Federal Court, Sao Paulo) (R$5.8 million expropriation suit)</w:t>
      </w:r>
    </w:p>
    <w:p>
      <w:pPr>
        <w:pStyle w:val="Normal"/>
        <w:rPr/>
      </w:pPr>
      <w:r>
        <w:rPr/>
      </w:r>
    </w:p>
    <w:p>
      <w:pPr>
        <w:pStyle w:val="Normal"/>
        <w:numPr>
          <w:ilvl w:val="0"/>
          <w:numId w:val="2"/>
        </w:numPr>
        <w:tabs>
          <w:tab w:val="left" w:pos="720" w:leader="none"/>
        </w:tabs>
        <w:rPr/>
      </w:pPr>
      <w:r>
        <w:rPr/>
        <w:t>Elektro v. Jose Lopez et al. (8</w:t>
      </w:r>
      <w:r>
        <w:rPr>
          <w:vertAlign w:val="superscript"/>
        </w:rPr>
        <w:t>th</w:t>
      </w:r>
      <w:r>
        <w:rPr/>
        <w:t xml:space="preserve"> Federal Court , Sao Paulo) (R$228,000 expropriation suit)</w:t>
      </w:r>
    </w:p>
    <w:p>
      <w:pPr>
        <w:pStyle w:val="Normal"/>
        <w:rPr/>
      </w:pPr>
      <w:r>
        <w:rPr/>
      </w:r>
    </w:p>
    <w:p>
      <w:pPr>
        <w:pStyle w:val="Normal"/>
        <w:numPr>
          <w:ilvl w:val="0"/>
          <w:numId w:val="2"/>
        </w:numPr>
        <w:tabs>
          <w:tab w:val="left" w:pos="720" w:leader="none"/>
        </w:tabs>
        <w:rPr/>
      </w:pPr>
      <w:r>
        <w:rPr/>
        <w:t>Espolio de Fuad Anauate v. Elektro (18</w:t>
      </w:r>
      <w:r>
        <w:rPr>
          <w:vertAlign w:val="superscript"/>
        </w:rPr>
        <w:t>th</w:t>
      </w:r>
      <w:r>
        <w:rPr/>
        <w:t xml:space="preserve"> Federal Court, Sao Paulo) (R$827,000 expropriation suit)</w:t>
      </w:r>
    </w:p>
    <w:p>
      <w:pPr>
        <w:pStyle w:val="Normal"/>
        <w:rPr/>
      </w:pPr>
      <w:r>
        <w:rPr/>
      </w:r>
    </w:p>
    <w:p>
      <w:pPr>
        <w:pStyle w:val="Normal"/>
        <w:numPr>
          <w:ilvl w:val="0"/>
          <w:numId w:val="2"/>
        </w:numPr>
        <w:tabs>
          <w:tab w:val="left" w:pos="720" w:leader="none"/>
        </w:tabs>
        <w:rPr/>
      </w:pPr>
      <w:r>
        <w:rPr/>
        <w:t>Sindicato dos Trabalhadores nas Industria de Energia Electrica de Compinas v. CESP (Supreme Court of Brazil) (R$15 million wage suit for which R$15 million has been reserved)</w:t>
      </w:r>
    </w:p>
    <w:p>
      <w:pPr>
        <w:pStyle w:val="Normal"/>
        <w:rPr/>
      </w:pPr>
      <w:r>
        <w:rPr/>
      </w:r>
    </w:p>
    <w:p>
      <w:pPr>
        <w:pStyle w:val="Normal"/>
        <w:numPr>
          <w:ilvl w:val="0"/>
          <w:numId w:val="2"/>
        </w:numPr>
        <w:tabs>
          <w:tab w:val="left" w:pos="720" w:leader="none"/>
        </w:tabs>
        <w:rPr/>
      </w:pPr>
      <w:r>
        <w:rPr/>
        <w:t>Silva v. CESP (Board of Conciliation and Judgment of the City of Biaganca Paulista) (R$75,000 wage suit)</w:t>
      </w:r>
    </w:p>
    <w:p>
      <w:pPr>
        <w:pStyle w:val="Normal"/>
        <w:rPr/>
      </w:pPr>
      <w:r>
        <w:rPr/>
      </w:r>
    </w:p>
    <w:p>
      <w:pPr>
        <w:pStyle w:val="Normal"/>
        <w:numPr>
          <w:ilvl w:val="0"/>
          <w:numId w:val="2"/>
        </w:numPr>
        <w:tabs>
          <w:tab w:val="left" w:pos="720" w:leader="none"/>
        </w:tabs>
        <w:rPr/>
      </w:pPr>
      <w:r>
        <w:rPr/>
        <w:t>Sindicato dos Trabalhadores nas Industrias de Energia Electrica de Itanhaem v. CESP (Board of Conciliation and Judgment of the City of Itanhaem) (R$415,000 wage suit)</w:t>
      </w:r>
    </w:p>
    <w:p>
      <w:pPr>
        <w:pStyle w:val="Normal"/>
        <w:rPr/>
      </w:pPr>
      <w:r>
        <w:rPr/>
      </w:r>
    </w:p>
    <w:p>
      <w:pPr>
        <w:pStyle w:val="Normal"/>
        <w:numPr>
          <w:ilvl w:val="0"/>
          <w:numId w:val="2"/>
        </w:numPr>
        <w:tabs>
          <w:tab w:val="left" w:pos="720" w:leader="none"/>
        </w:tabs>
        <w:rPr/>
      </w:pPr>
      <w:r>
        <w:rPr/>
        <w:t>Sindicato dos Trahalhadores nas Industria de Energia Electrica de Campinas v. CESP (4</w:t>
      </w:r>
      <w:r>
        <w:rPr>
          <w:vertAlign w:val="superscript"/>
        </w:rPr>
        <w:t>th</w:t>
      </w:r>
      <w:r>
        <w:rPr/>
        <w:t xml:space="preserve"> Labor Court of Campinas) (R$5.9 million wage suit)</w:t>
      </w:r>
    </w:p>
    <w:p>
      <w:pPr>
        <w:pStyle w:val="Normal"/>
        <w:rPr/>
      </w:pPr>
      <w:r>
        <w:rPr/>
      </w:r>
    </w:p>
    <w:p>
      <w:pPr>
        <w:pStyle w:val="Normal"/>
        <w:numPr>
          <w:ilvl w:val="0"/>
          <w:numId w:val="2"/>
        </w:numPr>
        <w:tabs>
          <w:tab w:val="left" w:pos="720" w:leader="none"/>
        </w:tabs>
        <w:rPr/>
      </w:pPr>
      <w:r>
        <w:rPr/>
        <w:t>Sindicato dos Electricitarios de Sao Paulo v. CESP (39</w:t>
      </w:r>
      <w:r>
        <w:rPr>
          <w:vertAlign w:val="superscript"/>
        </w:rPr>
        <w:t>th</w:t>
      </w:r>
      <w:r>
        <w:rPr/>
        <w:t xml:space="preserve"> Board of Conciliation and Judgment of the City of Sao Paulo) (R$790,000 wage suit)</w:t>
      </w:r>
    </w:p>
    <w:p>
      <w:pPr>
        <w:pStyle w:val="Normal"/>
        <w:rPr/>
      </w:pPr>
      <w:r>
        <w:rPr/>
      </w:r>
    </w:p>
    <w:p>
      <w:pPr>
        <w:pStyle w:val="Normal"/>
        <w:numPr>
          <w:ilvl w:val="0"/>
          <w:numId w:val="2"/>
        </w:numPr>
        <w:tabs>
          <w:tab w:val="left" w:pos="720" w:leader="none"/>
        </w:tabs>
        <w:rPr/>
      </w:pPr>
      <w:r>
        <w:rPr/>
        <w:t>Santana da Ponte Pensa v. Elektro (15</w:t>
      </w:r>
      <w:r>
        <w:rPr>
          <w:vertAlign w:val="superscript"/>
        </w:rPr>
        <w:t>th</w:t>
      </w:r>
      <w:r>
        <w:rPr/>
        <w:t xml:space="preserve"> State Lower Court, Sao Paulo) (suit challenging 24% tariff increase)</w:t>
      </w:r>
    </w:p>
    <w:p>
      <w:pPr>
        <w:pStyle w:val="Normal"/>
        <w:rPr/>
      </w:pPr>
      <w:r>
        <w:rPr/>
      </w:r>
    </w:p>
    <w:p>
      <w:pPr>
        <w:pStyle w:val="Normal"/>
        <w:numPr>
          <w:ilvl w:val="0"/>
          <w:numId w:val="2"/>
        </w:numPr>
        <w:tabs>
          <w:tab w:val="left" w:pos="720" w:leader="none"/>
        </w:tabs>
        <w:rPr/>
      </w:pPr>
      <w:r>
        <w:rPr/>
        <w:t>Itariri v. Elektro (33</w:t>
      </w:r>
      <w:r>
        <w:rPr>
          <w:vertAlign w:val="superscript"/>
        </w:rPr>
        <w:t>rd</w:t>
      </w:r>
      <w:r>
        <w:rPr/>
        <w:t xml:space="preserve"> State Lower Court, Sao Paulo) (suit challenging 24% tariff increase)</w:t>
      </w:r>
    </w:p>
    <w:p>
      <w:pPr>
        <w:pStyle w:val="Normal"/>
        <w:rPr/>
      </w:pPr>
      <w:r>
        <w:rPr/>
      </w:r>
    </w:p>
    <w:p>
      <w:pPr>
        <w:pStyle w:val="Normal"/>
        <w:numPr>
          <w:ilvl w:val="0"/>
          <w:numId w:val="2"/>
        </w:numPr>
        <w:tabs>
          <w:tab w:val="left" w:pos="720" w:leader="none"/>
        </w:tabs>
        <w:rPr/>
      </w:pPr>
      <w:r>
        <w:rPr/>
        <w:t>Monica Sacilotti, Pollyana Sacilotti and Liliane Sacilotti v. Elektro Eletricidade e Servicos S.A. (Lawsuit Number 586/98) (1</w:t>
      </w:r>
      <w:r>
        <w:rPr>
          <w:vertAlign w:val="superscript"/>
        </w:rPr>
        <w:t>st</w:t>
      </w:r>
      <w:r>
        <w:rPr/>
        <w:t xml:space="preserve"> State Lower Court of the City of Cachoeira Paulista, State of Sao Paulo) (personal injury)</w:t>
      </w:r>
    </w:p>
    <w:p>
      <w:pPr>
        <w:pStyle w:val="Normal"/>
        <w:rPr/>
      </w:pPr>
      <w:r>
        <w:rPr/>
      </w:r>
    </w:p>
    <w:p>
      <w:pPr>
        <w:pStyle w:val="Normal"/>
        <w:numPr>
          <w:ilvl w:val="0"/>
          <w:numId w:val="2"/>
        </w:numPr>
        <w:tabs>
          <w:tab w:val="left" w:pos="720" w:leader="none"/>
        </w:tabs>
        <w:rPr/>
      </w:pPr>
      <w:r>
        <w:rPr/>
        <w:t>Claudemir Donizetti de Camargo v. Elektro Eletricidade e Servicos S.A. and Arnaldo Camilo Junior (Lawsuit Number 1075/98) (1</w:t>
      </w:r>
      <w:r>
        <w:rPr>
          <w:vertAlign w:val="superscript"/>
        </w:rPr>
        <w:t>st</w:t>
      </w:r>
      <w:r>
        <w:rPr/>
        <w:t xml:space="preserve"> State Lower Court of Leme, State of Sao Paulo) (personal injury)</w:t>
      </w:r>
    </w:p>
    <w:p>
      <w:pPr>
        <w:pStyle w:val="Normal"/>
        <w:rPr/>
      </w:pPr>
      <w:r>
        <w:rPr/>
      </w:r>
    </w:p>
    <w:p>
      <w:pPr>
        <w:pStyle w:val="Normal"/>
        <w:numPr>
          <w:ilvl w:val="0"/>
          <w:numId w:val="2"/>
        </w:numPr>
        <w:tabs>
          <w:tab w:val="left" w:pos="720" w:leader="none"/>
        </w:tabs>
        <w:rPr/>
      </w:pPr>
      <w:r>
        <w:rPr/>
        <w:t>Pedro Sieben de Oliveira v. Elektro Eletricidade e Servicos S.A. (Lawsuit Number 15/99) (1</w:t>
      </w:r>
      <w:r>
        <w:rPr>
          <w:vertAlign w:val="superscript"/>
        </w:rPr>
        <w:t>st</w:t>
      </w:r>
      <w:r>
        <w:rPr/>
        <w:t xml:space="preserve"> State Lower Court of Miracatu, State of Sao Paulo) (person injury)</w:t>
      </w:r>
    </w:p>
    <w:p>
      <w:pPr>
        <w:pStyle w:val="Normal"/>
        <w:rPr/>
      </w:pPr>
      <w:r>
        <w:rPr/>
      </w:r>
    </w:p>
    <w:p>
      <w:pPr>
        <w:pStyle w:val="Normal"/>
        <w:numPr>
          <w:ilvl w:val="0"/>
          <w:numId w:val="2"/>
        </w:numPr>
        <w:tabs>
          <w:tab w:val="left" w:pos="720" w:leader="none"/>
        </w:tabs>
        <w:rPr/>
      </w:pPr>
      <w:r>
        <w:rPr/>
        <w:t>Andreovira Aparecida Sieben, Andrevalnia Cristina Sieben and Fabio Henrique Sieben v. Elektro Eletricidade e Servicos S.A. (Lawsuit Number 52/99) (1</w:t>
      </w:r>
      <w:r>
        <w:rPr>
          <w:vertAlign w:val="superscript"/>
        </w:rPr>
        <w:t>st</w:t>
      </w:r>
      <w:r>
        <w:rPr/>
        <w:t xml:space="preserve"> State Lower Court of Miracatu, State of Sao Paulo) (personal injury)</w:t>
      </w:r>
    </w:p>
    <w:p>
      <w:pPr>
        <w:pStyle w:val="Normal"/>
        <w:rPr/>
      </w:pPr>
      <w:r>
        <w:rPr/>
      </w:r>
    </w:p>
    <w:p>
      <w:pPr>
        <w:pStyle w:val="Normal"/>
        <w:numPr>
          <w:ilvl w:val="0"/>
          <w:numId w:val="2"/>
        </w:numPr>
        <w:tabs>
          <w:tab w:val="left" w:pos="720" w:leader="none"/>
        </w:tabs>
        <w:rPr/>
      </w:pPr>
      <w:r>
        <w:rPr/>
        <w:t>Valmir de Seixas e Maria Aparecida Seixas v. Elektro Eletricidade e Servicos S.A. and Comercio de Frutas Ricaeli (Lawsuit Number 127/99) (1</w:t>
      </w:r>
      <w:r>
        <w:rPr>
          <w:vertAlign w:val="superscript"/>
        </w:rPr>
        <w:t>st</w:t>
      </w:r>
      <w:r>
        <w:rPr/>
        <w:t xml:space="preserve"> State Lower Court of the City of Itu, State of Sao Paulo) (personal injury)</w:t>
      </w:r>
    </w:p>
    <w:p>
      <w:pPr>
        <w:pStyle w:val="Normal"/>
        <w:rPr/>
      </w:pPr>
      <w:r>
        <w:rPr/>
      </w:r>
    </w:p>
    <w:p>
      <w:pPr>
        <w:pStyle w:val="Normal"/>
        <w:numPr>
          <w:ilvl w:val="0"/>
          <w:numId w:val="2"/>
        </w:numPr>
        <w:tabs>
          <w:tab w:val="left" w:pos="720" w:leader="none"/>
        </w:tabs>
        <w:rPr/>
      </w:pPr>
      <w:r>
        <w:rPr/>
        <w:t>Moises Mateo Pizoli v. Elektro Eletricidade e Servicos S.A. (Lawsuit Number 323/99/1/0F) (1</w:t>
      </w:r>
      <w:r>
        <w:rPr>
          <w:vertAlign w:val="superscript"/>
        </w:rPr>
        <w:t>st</w:t>
      </w:r>
      <w:r>
        <w:rPr/>
        <w:t xml:space="preserve"> State Lower Court of Rio Claro, State of Sao Paulo) (personal injury)</w:t>
      </w:r>
    </w:p>
    <w:p>
      <w:pPr>
        <w:pStyle w:val="Normal"/>
        <w:rPr/>
      </w:pPr>
      <w:r>
        <w:rPr/>
      </w:r>
    </w:p>
    <w:p>
      <w:pPr>
        <w:pStyle w:val="Normal"/>
        <w:numPr>
          <w:ilvl w:val="0"/>
          <w:numId w:val="2"/>
        </w:numPr>
        <w:tabs>
          <w:tab w:val="left" w:pos="720" w:leader="none"/>
        </w:tabs>
        <w:rPr/>
      </w:pPr>
      <w:r>
        <w:rPr/>
        <w:t>Jose de Paula Lima v. Elektro Eletricidade e Servicos S.A. (Lawsuit Number 121/99) (1</w:t>
      </w:r>
      <w:r>
        <w:rPr>
          <w:vertAlign w:val="superscript"/>
        </w:rPr>
        <w:t>st</w:t>
      </w:r>
      <w:r>
        <w:rPr/>
        <w:t xml:space="preserve"> State Lower Court of Sao Bento do Sapaucai, State of Sao Paulo) (personal injury)</w:t>
      </w:r>
    </w:p>
    <w:p>
      <w:pPr>
        <w:pStyle w:val="Normal"/>
        <w:rPr/>
      </w:pPr>
      <w:r>
        <w:rPr/>
      </w:r>
    </w:p>
    <w:p>
      <w:pPr>
        <w:pStyle w:val="Normal"/>
        <w:numPr>
          <w:ilvl w:val="0"/>
          <w:numId w:val="2"/>
        </w:numPr>
        <w:tabs>
          <w:tab w:val="left" w:pos="720" w:leader="none"/>
        </w:tabs>
        <w:rPr/>
      </w:pPr>
      <w:r>
        <w:rPr/>
        <w:t>Israel Magno v. Arcan Servicos, Transporte e Comercio Ltd. and Elektro Eletricidade e Servicos S.A. (Lawsuit Number 324/99) (1</w:t>
      </w:r>
      <w:r>
        <w:rPr>
          <w:vertAlign w:val="superscript"/>
        </w:rPr>
        <w:t>st</w:t>
      </w:r>
      <w:r>
        <w:rPr/>
        <w:t xml:space="preserve"> State Lower Court of Rigistro, State of Sao Paulo) (personal injury)</w:t>
      </w:r>
    </w:p>
    <w:p>
      <w:pPr>
        <w:pStyle w:val="Normal"/>
        <w:rPr/>
      </w:pPr>
      <w:r>
        <w:rPr/>
      </w:r>
    </w:p>
    <w:p>
      <w:pPr>
        <w:pStyle w:val="Normal"/>
        <w:numPr>
          <w:ilvl w:val="0"/>
          <w:numId w:val="2"/>
        </w:numPr>
        <w:tabs>
          <w:tab w:val="left" w:pos="720" w:leader="none"/>
        </w:tabs>
        <w:rPr/>
      </w:pPr>
      <w:r>
        <w:rPr/>
        <w:t>Andre Rodrigues de Matos and Almira do Carmo de Matos v. Elektro Eletricidade e Servicos S.A. (Lawsuit Number 174/99) (In the Administrative District of Itanhaem, District Court of Itariri, State of Sao Paulo) (personal injury)</w:t>
      </w:r>
    </w:p>
    <w:p>
      <w:pPr>
        <w:pStyle w:val="Normal"/>
        <w:rPr/>
      </w:pPr>
      <w:r>
        <w:rPr/>
      </w:r>
    </w:p>
    <w:p>
      <w:pPr>
        <w:pStyle w:val="Normal"/>
        <w:numPr>
          <w:ilvl w:val="0"/>
          <w:numId w:val="2"/>
        </w:numPr>
        <w:tabs>
          <w:tab w:val="left" w:pos="720" w:leader="none"/>
        </w:tabs>
        <w:rPr/>
      </w:pPr>
      <w:r>
        <w:rPr/>
        <w:t>Valter Pereira de Oliveira v. Elektro Eletricidade e Servicos S.A. (Lawsuit Number 729/98) (2</w:t>
      </w:r>
      <w:r>
        <w:rPr>
          <w:vertAlign w:val="superscript"/>
        </w:rPr>
        <w:t>nd</w:t>
      </w:r>
      <w:r>
        <w:rPr/>
        <w:t xml:space="preserve"> Lower Court of Santa Fe do Sul, State of Sao Paulo (personal injury)</w:t>
      </w:r>
    </w:p>
    <w:p>
      <w:pPr>
        <w:pStyle w:val="Normal"/>
        <w:rPr/>
      </w:pPr>
      <w:r>
        <w:rPr/>
      </w:r>
    </w:p>
    <w:p>
      <w:pPr>
        <w:pStyle w:val="Normal"/>
        <w:numPr>
          <w:ilvl w:val="0"/>
          <w:numId w:val="2"/>
        </w:numPr>
        <w:tabs>
          <w:tab w:val="left" w:pos="720" w:leader="none"/>
        </w:tabs>
        <w:rPr/>
      </w:pPr>
      <w:r>
        <w:rPr/>
        <w:t>Edson Eduardo Zardetti v. Elektro Eletricidade e Servicos S.A. (Lawsuit Number 520/99) (1</w:t>
      </w:r>
      <w:r>
        <w:rPr>
          <w:vertAlign w:val="superscript"/>
        </w:rPr>
        <w:t>st</w:t>
      </w:r>
      <w:r>
        <w:rPr/>
        <w:t xml:space="preserve"> State Lower Court of Andradina, State of Sao Paulo) (personal injury)</w:t>
      </w:r>
    </w:p>
    <w:p>
      <w:pPr>
        <w:pStyle w:val="Normal"/>
        <w:rPr/>
      </w:pPr>
      <w:r>
        <w:rPr/>
      </w:r>
    </w:p>
    <w:p>
      <w:pPr>
        <w:pStyle w:val="Normal"/>
        <w:numPr>
          <w:ilvl w:val="0"/>
          <w:numId w:val="2"/>
        </w:numPr>
        <w:tabs>
          <w:tab w:val="left" w:pos="720" w:leader="none"/>
        </w:tabs>
        <w:rPr/>
      </w:pPr>
      <w:r>
        <w:rPr/>
        <w:t>Maura Aparecida Szott v. Elektro Eletricidade e Servicos S.A. (Lawsuit Number 272/99) (1</w:t>
      </w:r>
      <w:r>
        <w:rPr>
          <w:vertAlign w:val="superscript"/>
        </w:rPr>
        <w:t>st</w:t>
      </w:r>
      <w:r>
        <w:rPr/>
        <w:t xml:space="preserve"> State Lower Court of the District of Parequera-Acu, City of Jacupiranga, State of Sao Paulo) (personal injury)</w:t>
      </w:r>
    </w:p>
    <w:p>
      <w:pPr>
        <w:pStyle w:val="Normal"/>
        <w:rPr/>
      </w:pPr>
      <w:r>
        <w:rPr/>
      </w:r>
    </w:p>
    <w:p>
      <w:pPr>
        <w:pStyle w:val="Normal"/>
        <w:numPr>
          <w:ilvl w:val="0"/>
          <w:numId w:val="2"/>
        </w:numPr>
        <w:tabs>
          <w:tab w:val="left" w:pos="720" w:leader="none"/>
        </w:tabs>
        <w:rPr/>
      </w:pPr>
      <w:r>
        <w:rPr/>
        <w:t>Maria Neusa do Prado Dias de Oliveira et al. v. Elektro Eletricidade e Servicos S.A. and Metalurgica Becaro Ltda. (Lawsuit Number 2027/99) (1</w:t>
      </w:r>
      <w:r>
        <w:rPr>
          <w:vertAlign w:val="superscript"/>
        </w:rPr>
        <w:t>st</w:t>
      </w:r>
      <w:r>
        <w:rPr/>
        <w:t xml:space="preserve"> State Lower Court of the City of Rio Claro, State of Sao Paulo) (personal injury)</w:t>
      </w:r>
    </w:p>
    <w:p>
      <w:pPr>
        <w:pStyle w:val="Normal"/>
        <w:rPr/>
      </w:pPr>
      <w:r>
        <w:rPr/>
      </w:r>
    </w:p>
    <w:p>
      <w:pPr>
        <w:pStyle w:val="Normal"/>
        <w:numPr>
          <w:ilvl w:val="0"/>
          <w:numId w:val="2"/>
        </w:numPr>
        <w:tabs>
          <w:tab w:val="left" w:pos="720" w:leader="none"/>
        </w:tabs>
        <w:rPr/>
      </w:pPr>
      <w:r>
        <w:rPr/>
        <w:t>Antonio Pereira Oliveira v. Elektro Eletricidade e Servicos S.A. (Lawsuit Number 672/99) (1</w:t>
      </w:r>
      <w:r>
        <w:rPr>
          <w:vertAlign w:val="superscript"/>
        </w:rPr>
        <w:t>st</w:t>
      </w:r>
      <w:r>
        <w:rPr/>
        <w:t xml:space="preserve"> State Lower Court of Registro, State of Sao Paulo) (personal injury)</w:t>
      </w:r>
    </w:p>
    <w:p>
      <w:pPr>
        <w:pStyle w:val="Normal"/>
        <w:rPr/>
      </w:pPr>
      <w:r>
        <w:rPr/>
      </w:r>
    </w:p>
    <w:p>
      <w:pPr>
        <w:pStyle w:val="Normal"/>
        <w:numPr>
          <w:ilvl w:val="0"/>
          <w:numId w:val="2"/>
        </w:numPr>
        <w:tabs>
          <w:tab w:val="left" w:pos="720" w:leader="none"/>
        </w:tabs>
        <w:rPr/>
      </w:pPr>
      <w:r>
        <w:rPr/>
        <w:t>Isaura Roseneide Barros et al. v. Elektro Eletricidade e Servicos S.A. (Lawsuit Number 241/99) (1</w:t>
      </w:r>
      <w:r>
        <w:rPr>
          <w:vertAlign w:val="superscript"/>
        </w:rPr>
        <w:t>st</w:t>
      </w:r>
      <w:r>
        <w:rPr/>
        <w:t xml:space="preserve"> State Lower Court of the City of Auriflama, State of Sao Paulo) (personal injury)</w:t>
      </w:r>
    </w:p>
    <w:p>
      <w:pPr>
        <w:pStyle w:val="Normal"/>
        <w:rPr/>
      </w:pPr>
      <w:r>
        <w:rPr/>
      </w:r>
    </w:p>
    <w:p>
      <w:pPr>
        <w:pStyle w:val="Normal"/>
        <w:numPr>
          <w:ilvl w:val="0"/>
          <w:numId w:val="2"/>
        </w:numPr>
        <w:tabs>
          <w:tab w:val="left" w:pos="720" w:leader="none"/>
        </w:tabs>
        <w:rPr/>
      </w:pPr>
      <w:r>
        <w:rPr/>
        <w:t>Jose Caetano Ferreira v. Elektro Eletricidade e Servicos S.A. (personal injury)</w:t>
      </w:r>
    </w:p>
    <w:p>
      <w:pPr>
        <w:pStyle w:val="Normal"/>
        <w:rPr/>
      </w:pPr>
      <w:r>
        <w:rPr/>
      </w:r>
    </w:p>
    <w:p>
      <w:pPr>
        <w:pStyle w:val="Normal"/>
        <w:numPr>
          <w:ilvl w:val="0"/>
          <w:numId w:val="2"/>
        </w:numPr>
        <w:tabs>
          <w:tab w:val="left" w:pos="720" w:leader="none"/>
        </w:tabs>
        <w:rPr/>
      </w:pPr>
      <w:r>
        <w:rPr/>
        <w:t>Francisco Domingos de Freitas v. Elektro Eletricidade e Servicos S.A. and Jaragua Constructores (Lawsuit Number 440/98) (In the State Civil Court of City of Cunha, State of Sao Paulo) (personal injury)</w:t>
      </w:r>
    </w:p>
    <w:p>
      <w:pPr>
        <w:pStyle w:val="Normal"/>
        <w:rPr/>
      </w:pPr>
      <w:r>
        <w:rPr/>
      </w:r>
    </w:p>
    <w:p>
      <w:pPr>
        <w:pStyle w:val="Normal"/>
        <w:numPr>
          <w:ilvl w:val="0"/>
          <w:numId w:val="2"/>
        </w:numPr>
        <w:tabs>
          <w:tab w:val="left" w:pos="720" w:leader="none"/>
        </w:tabs>
        <w:rPr/>
      </w:pPr>
      <w:r>
        <w:rPr/>
        <w:t>Jefferson Luiz Campos v. Elektro Eletricidade e Servicos S.A. (Lawsuit Number 1018/98) (In the State Lower Court of City of Itarare, State of Sao Paulo) (personal injury)</w:t>
      </w:r>
    </w:p>
    <w:p>
      <w:pPr>
        <w:pStyle w:val="Normal"/>
        <w:rPr/>
      </w:pPr>
      <w:r>
        <w:rPr/>
      </w:r>
    </w:p>
    <w:p>
      <w:pPr>
        <w:pStyle w:val="Normal"/>
        <w:numPr>
          <w:ilvl w:val="0"/>
          <w:numId w:val="2"/>
        </w:numPr>
        <w:tabs>
          <w:tab w:val="left" w:pos="720" w:leader="none"/>
        </w:tabs>
        <w:rPr/>
      </w:pPr>
      <w:r>
        <w:rPr/>
        <w:t>Levi Goncalves de Lima and Ana de Lima v. Elektro Eletricidade (Lawsuit Number 957/98) (In the State Lower Court of City of Atibaia, State of Sao Paulo) (personal injury)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MATERIAL ADVERSE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w:t>
        <w:tab/>
        <w:t xml:space="preserve">None </w:t>
      </w:r>
      <w:r>
        <w:rPr>
          <w:b/>
        </w:rPr>
        <w:t>[Company to provide the 3-4 million dollar MAE and later it will be determined whether this meets the threshold for disclosure].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jc w:val="center"/>
        <w:rPr>
          <w:b/>
        </w:rPr>
      </w:pPr>
      <w:r>
        <w:rPr>
          <w:b/>
        </w:rPr>
        <w:t>SCHEDULE 7.02(b)(i)(C)</w:t>
      </w:r>
    </w:p>
    <w:p>
      <w:pPr>
        <w:pStyle w:val="Normal"/>
        <w:jc w:val="center"/>
        <w:rPr>
          <w:b/>
        </w:rPr>
      </w:pPr>
      <w:r>
        <w:rPr>
          <w:b/>
        </w:rPr>
      </w:r>
    </w:p>
    <w:p>
      <w:pPr>
        <w:pStyle w:val="Normal"/>
        <w:jc w:val="center"/>
        <w:rPr>
          <w:b/>
        </w:rPr>
      </w:pPr>
      <w:r>
        <w:rPr>
          <w:b/>
        </w:rPr>
        <w:t>ACCELERATION OF PAYMENT UNDER BENEFIT PLAN</w:t>
      </w:r>
    </w:p>
    <w:p>
      <w:pPr>
        <w:pStyle w:val="BodyTextIndent2"/>
        <w:tabs>
          <w:tab w:val="clear" w:pos="720"/>
          <w:tab w:val="left" w:pos="1098" w:leader="none"/>
        </w:tabs>
        <w:ind w:hanging="720" w:start="1440" w:end="0"/>
        <w:jc w:val="both"/>
        <w:rPr>
          <w:rFonts w:ascii="Times New Roman" w:hAnsi="Times New Roman" w:cs="Times New Roman"/>
          <w:b w:val="false"/>
        </w:rPr>
      </w:pPr>
      <w:r>
        <w:rPr>
          <w:rFonts w:cs="Times New Roman" w:ascii="Times New Roman" w:hAnsi="Times New Roman"/>
          <w:b w:val="false"/>
        </w:rPr>
      </w:r>
    </w:p>
    <w:p>
      <w:pPr>
        <w:pStyle w:val="BodyTextIndent2"/>
        <w:tabs>
          <w:tab w:val="left" w:pos="720" w:leader="none"/>
        </w:tabs>
        <w:ind w:start="0" w:end="0"/>
        <w:jc w:val="both"/>
        <w:rPr>
          <w:rFonts w:ascii="Times New Roman" w:hAnsi="Times New Roman" w:cs="Times New Roman"/>
          <w:b w:val="false"/>
        </w:rPr>
      </w:pPr>
      <w:r>
        <w:rPr>
          <w:rFonts w:cs="Times New Roman" w:ascii="Times New Roman" w:hAnsi="Times New Roman"/>
          <w:b w:val="false"/>
        </w:rPr>
      </w:r>
    </w:p>
    <w:p>
      <w:pPr>
        <w:pStyle w:val="BodyTextIndent2"/>
        <w:tabs>
          <w:tab w:val="left" w:pos="720" w:leader="none"/>
        </w:tabs>
        <w:ind w:start="0" w:end="0"/>
        <w:jc w:val="both"/>
        <w:rPr>
          <w:rFonts w:ascii="Times New Roman" w:hAnsi="Times New Roman" w:cs="Times New Roman"/>
          <w:b w:val="false"/>
        </w:rPr>
      </w:pPr>
      <w:r>
        <w:rPr>
          <w:rFonts w:cs="Times New Roman" w:ascii="Times New Roman" w:hAnsi="Times New Roman"/>
          <w:b w:val="false"/>
        </w:rPr>
        <w:t>1.</w:t>
        <w:tab/>
        <w:t>Management has hired a specialized consultant (William Mercer) to review the existing (i) health plan, and (ii) the pension fund terms and conditions. Studies and analysis have been made to convert the existing “benefício definido” (defined benefit) pension fund into a 100% “contribuição definida” (defined contribution) pension fund to eliminate the actuarial cost risk component inherent in the former.</w:t>
      </w:r>
    </w:p>
    <w:p>
      <w:pPr>
        <w:pStyle w:val="BodyTextIndent2"/>
        <w:ind w:hanging="720" w:start="1440" w:end="0"/>
        <w:jc w:val="both"/>
        <w:rPr>
          <w:rFonts w:ascii="Times New Roman" w:hAnsi="Times New Roman" w:cs="Times New Roman"/>
          <w:b w:val="false"/>
        </w:rPr>
      </w:pPr>
      <w:r>
        <w:rPr>
          <w:rFonts w:cs="Times New Roman" w:ascii="Times New Roman" w:hAnsi="Times New Roman"/>
          <w:b w:val="false"/>
        </w:rPr>
      </w:r>
    </w:p>
    <w:p>
      <w:pPr>
        <w:pStyle w:val="BodyTextIndent2"/>
        <w:tabs>
          <w:tab w:val="left" w:pos="720" w:leader="none"/>
        </w:tabs>
        <w:ind w:start="0" w:end="0"/>
        <w:jc w:val="both"/>
        <w:rPr>
          <w:rFonts w:ascii="Times New Roman" w:hAnsi="Times New Roman" w:cs="Times New Roman"/>
          <w:b w:val="false"/>
        </w:rPr>
      </w:pPr>
      <w:r>
        <w:rPr>
          <w:rFonts w:cs="Times New Roman" w:ascii="Times New Roman" w:hAnsi="Times New Roman"/>
          <w:b w:val="false"/>
        </w:rPr>
      </w:r>
      <w:r>
        <w:br w:type="page"/>
      </w:r>
    </w:p>
    <w:p>
      <w:pPr>
        <w:pStyle w:val="Normal"/>
        <w:jc w:val="center"/>
        <w:rPr>
          <w:b/>
        </w:rPr>
      </w:pPr>
      <w:r>
        <w:rPr>
          <w:b/>
        </w:rPr>
        <w:t>SCHEDULE 7.02(b)(ii)(A)</w:t>
      </w:r>
    </w:p>
    <w:p>
      <w:pPr>
        <w:pStyle w:val="Normal"/>
        <w:jc w:val="center"/>
        <w:rPr>
          <w:b/>
        </w:rPr>
      </w:pPr>
      <w:r>
        <w:rPr>
          <w:b/>
        </w:rPr>
      </w:r>
    </w:p>
    <w:p>
      <w:pPr>
        <w:pStyle w:val="Normal"/>
        <w:jc w:val="center"/>
        <w:rPr>
          <w:b/>
        </w:rPr>
      </w:pPr>
      <w:r>
        <w:rPr>
          <w:b/>
        </w:rPr>
        <w:t>SIGNIFICANT SEVERANCE PAY</w:t>
      </w:r>
    </w:p>
    <w:p>
      <w:pPr>
        <w:pStyle w:val="Normal"/>
        <w:jc w:val="center"/>
        <w:rPr>
          <w:b/>
        </w:rPr>
      </w:pPr>
      <w:r>
        <w:rPr>
          <w:b/>
        </w:rPr>
      </w:r>
    </w:p>
    <w:p>
      <w:pPr>
        <w:pStyle w:val="Normal"/>
        <w:rPr/>
      </w:pPr>
      <w:r>
        <w:rPr/>
        <w:tab/>
        <w:t>For each of the Companies, list all the instances in which the Companies have taken or plan to take the following actions during the period between December 31, 1999 and December 31, 2000:</w:t>
      </w:r>
    </w:p>
    <w:p>
      <w:pPr>
        <w:pStyle w:val="Normal"/>
        <w:ind w:hanging="720" w:start="720" w:end="0"/>
        <w:rPr/>
      </w:pPr>
      <w:r>
        <w:rPr/>
      </w:r>
    </w:p>
    <w:p>
      <w:pPr>
        <w:pStyle w:val="Normal"/>
        <w:ind w:hanging="720" w:start="720" w:end="0"/>
        <w:rPr/>
      </w:pPr>
      <w:r>
        <w:rPr/>
        <w:t>1.</w:t>
        <w:tab/>
        <w:t xml:space="preserve">In August 1999, Elektro started a Voluntary Dismissal Program which resulted in the exit of 542 employees through December 31,1999. The program had certain terms and conditions to encourage participation in the program, providing those joining the program with exit compensation benefits above the labor law minimum requirements. As part of the negotiations then conducted with the Union </w:t>
      </w:r>
      <w:r>
        <w:rPr>
          <w:b/>
        </w:rPr>
        <w:t>[Company to provide name of Union]</w:t>
      </w:r>
      <w:r>
        <w:rPr/>
        <w:t>, Elektro agreed to reopen the same program upon the announcement and confirmation of the new Elektro corporate headquarters in Campinas.  Eligibility was restricted to the employees whose activities would be centralized in the new corporate building. The program was re-opened in April 2000 and 108</w:t>
      </w:r>
      <w:r>
        <w:rPr>
          <w:color w:val="FF0000"/>
        </w:rPr>
        <w:t xml:space="preserve"> </w:t>
      </w:r>
      <w:r>
        <w:rPr/>
        <w:t xml:space="preserve">employees have joined and have been scheduled to leave </w:t>
      </w:r>
      <w:r>
        <w:rPr>
          <w:b/>
        </w:rPr>
        <w:t>[until/by]</w:t>
      </w:r>
      <w:r>
        <w:rPr/>
        <w:t xml:space="preserve"> December 31, 2000.  </w:t>
      </w:r>
      <w:r>
        <w:rPr>
          <w:b/>
        </w:rPr>
        <w:t>[Company to provide more information regarding whether the program was re-opened through 12/31/2000 or was such date when the employees are leaving?]</w:t>
      </w:r>
    </w:p>
    <w:p>
      <w:pPr>
        <w:pStyle w:val="BodyTextIndent2"/>
        <w:ind w:hanging="720" w:start="1440" w:end="0"/>
        <w:jc w:val="both"/>
        <w:rPr>
          <w:rFonts w:ascii="Times New Roman" w:hAnsi="Times New Roman" w:cs="Times New Roman"/>
          <w:b w:val="false"/>
        </w:rPr>
      </w:pPr>
      <w:r>
        <w:rPr>
          <w:rFonts w:cs="Times New Roman" w:ascii="Times New Roman" w:hAnsi="Times New Roman"/>
          <w:b w:val="false"/>
        </w:rPr>
      </w:r>
      <w:r>
        <w:br w:type="page"/>
      </w:r>
    </w:p>
    <w:p>
      <w:pPr>
        <w:pStyle w:val="Normal"/>
        <w:jc w:val="center"/>
        <w:rPr>
          <w:b/>
        </w:rPr>
      </w:pPr>
      <w:r>
        <w:rPr>
          <w:b/>
        </w:rPr>
        <w:t>SCHEDULE 7.02(b)(iii)(C)</w:t>
      </w:r>
    </w:p>
    <w:p>
      <w:pPr>
        <w:pStyle w:val="Normal"/>
        <w:jc w:val="center"/>
        <w:rPr>
          <w:b/>
        </w:rPr>
      </w:pPr>
      <w:r>
        <w:rPr>
          <w:b/>
        </w:rPr>
      </w:r>
    </w:p>
    <w:p>
      <w:pPr>
        <w:pStyle w:val="Normal"/>
        <w:jc w:val="center"/>
        <w:rPr>
          <w:b/>
        </w:rPr>
      </w:pPr>
      <w:r>
        <w:rPr>
          <w:b/>
        </w:rPr>
        <w:t>REDEMPTION OF OUTSTANDING STOCK</w:t>
      </w:r>
    </w:p>
    <w:p>
      <w:pPr>
        <w:pStyle w:val="BodyTextIndent3"/>
        <w:rPr>
          <w:rFonts w:ascii="Times New Roman" w:hAnsi="Times New Roman" w:cs="Times New Roman"/>
          <w:b w:val="false"/>
        </w:rPr>
      </w:pPr>
      <w:r>
        <w:rPr>
          <w:rFonts w:cs="Times New Roman" w:ascii="Times New Roman" w:hAnsi="Times New Roman"/>
          <w:b w:val="false"/>
        </w:rPr>
      </w:r>
    </w:p>
    <w:p>
      <w:pPr>
        <w:pStyle w:val="BodyTextIndent3"/>
        <w:rPr>
          <w:rFonts w:ascii="Times New Roman" w:hAnsi="Times New Roman" w:cs="Times New Roman"/>
          <w:b w:val="false"/>
        </w:rPr>
      </w:pPr>
      <w:r>
        <w:rPr>
          <w:rFonts w:cs="Times New Roman" w:ascii="Times New Roman" w:hAnsi="Times New Roman"/>
          <w:b w:val="false"/>
        </w:rPr>
      </w:r>
    </w:p>
    <w:p>
      <w:pPr>
        <w:pStyle w:val="Normal"/>
        <w:rPr/>
      </w:pPr>
      <w:r>
        <w:rPr/>
        <w:tab/>
        <w:t xml:space="preserve">Elektro intends to implement a stock split followed by a same day and subsequent stock redemption based upon the premium reserve of R$676 million ($365 million @ R$1.85 / US dollar) currently carried on its balance sheet. </w:t>
      </w:r>
    </w:p>
    <w:p>
      <w:pPr>
        <w:pStyle w:val="Normal"/>
        <w:ind w:hanging="720" w:start="1440" w:end="0"/>
        <w:rPr/>
      </w:pPr>
      <w:r>
        <w:rPr/>
      </w:r>
    </w:p>
    <w:p>
      <w:pPr>
        <w:pStyle w:val="Normal"/>
        <w:rPr>
          <w:b/>
        </w:rPr>
      </w:pPr>
      <w:r>
        <w:rPr/>
        <w:tab/>
        <w:t>This mechanism will make funds available to Elektro’s controlling Holding Co. (EPC, ETB and EIE): (i) to meet the repayment schedule of the original $250 million at 0% interest due to Terraco Investments Ltd (wholly owned subsidiary of Elektro), which in turn will pay these funds (under the same schedule) to Enron Development Finance (“EDF”), and (ii) maintain a funds transfer conduit for approximately $115 million.</w:t>
      </w:r>
    </w:p>
    <w:p>
      <w:pPr>
        <w:pStyle w:val="Normal"/>
        <w:ind w:hanging="720" w:start="1440" w:end="0"/>
        <w:rPr>
          <w:b/>
        </w:rPr>
      </w:pPr>
      <w:r>
        <w:rPr>
          <w:b/>
        </w:rPr>
      </w:r>
    </w:p>
    <w:p>
      <w:pPr>
        <w:pStyle w:val="Normal"/>
        <w:rPr/>
      </w:pPr>
      <w:r>
        <w:rPr/>
        <w:tab/>
        <w:t>The stock split and redemption shall be submitted to the board and shareholder approvals before the end of August 2000 to meet the loan repayment schedule:</w:t>
      </w:r>
    </w:p>
    <w:p>
      <w:pPr>
        <w:pStyle w:val="Normal"/>
        <w:ind w:start="1099" w:end="0"/>
        <w:rPr/>
      </w:pPr>
      <w:r>
        <w:rPr/>
      </w:r>
    </w:p>
    <w:tbl>
      <w:tblPr>
        <w:tblW w:w="5528" w:type="dxa"/>
        <w:jc w:val="center"/>
        <w:tblInd w:w="0" w:type="dxa"/>
        <w:tblLayout w:type="fixed"/>
        <w:tblCellMar>
          <w:top w:w="0" w:type="dxa"/>
          <w:start w:w="70" w:type="dxa"/>
          <w:bottom w:w="0" w:type="dxa"/>
          <w:end w:w="70" w:type="dxa"/>
        </w:tblCellMar>
      </w:tblPr>
      <w:tblGrid>
        <w:gridCol w:w="1335"/>
        <w:gridCol w:w="1925"/>
        <w:gridCol w:w="2268"/>
      </w:tblGrid>
      <w:tr>
        <w:trPr/>
        <w:tc>
          <w:tcPr>
            <w:tcW w:w="1335" w:type="dxa"/>
            <w:tcBorders>
              <w:top w:val="single" w:sz="4" w:space="0" w:color="000000"/>
              <w:start w:val="single" w:sz="4" w:space="0" w:color="000000"/>
              <w:bottom w:val="single" w:sz="4" w:space="0" w:color="000000"/>
              <w:end w:val="single" w:sz="4" w:space="0" w:color="000000"/>
            </w:tcBorders>
          </w:tcPr>
          <w:p>
            <w:pPr>
              <w:pStyle w:val="Normal"/>
              <w:jc w:val="center"/>
              <w:rPr/>
            </w:pPr>
            <w:r>
              <w:rPr/>
              <w:t>Year</w:t>
            </w:r>
          </w:p>
        </w:tc>
        <w:tc>
          <w:tcPr>
            <w:tcW w:w="1925" w:type="dxa"/>
            <w:tcBorders>
              <w:top w:val="single" w:sz="4" w:space="0" w:color="000000"/>
              <w:start w:val="single" w:sz="4" w:space="0" w:color="000000"/>
              <w:bottom w:val="single" w:sz="4" w:space="0" w:color="000000"/>
              <w:end w:val="single" w:sz="4" w:space="0" w:color="000000"/>
            </w:tcBorders>
          </w:tcPr>
          <w:p>
            <w:pPr>
              <w:pStyle w:val="Normal"/>
              <w:jc w:val="center"/>
              <w:rPr/>
            </w:pPr>
            <w:r>
              <w:rPr/>
              <w:t>Month</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Amount (US$ 000)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1925"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b w:val="false"/>
              </w:rPr>
            </w:pPr>
            <w:r>
              <w:rPr>
                <w:rFonts w:cs="Times New Roman" w:ascii="Times New Roman" w:hAnsi="Times New Roman"/>
                <w:b w:val="false"/>
              </w:rPr>
              <w:t>September</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25" w:type="dxa"/>
            <w:tcBorders>
              <w:top w:val="single" w:sz="4" w:space="0" w:color="000000"/>
              <w:start w:val="single" w:sz="4" w:space="0" w:color="000000"/>
              <w:bottom w:val="single" w:sz="4" w:space="0" w:color="000000"/>
              <w:end w:val="single" w:sz="4" w:space="0" w:color="000000"/>
            </w:tcBorders>
          </w:tcPr>
          <w:p>
            <w:pPr>
              <w:pStyle w:val="Normal"/>
              <w:jc w:val="center"/>
              <w:rPr/>
            </w:pPr>
            <w:r>
              <w:rPr/>
              <w:t>December</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10,000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rPr/>
            </w:pPr>
            <w:r>
              <w:rPr/>
              <w:t>2001</w:t>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50,000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rPr/>
            </w:pPr>
            <w:r>
              <w:rPr/>
              <w:t>2002</w:t>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50,000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rPr/>
            </w:pPr>
            <w:r>
              <w:rPr/>
              <w:t>2003</w:t>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55,000</w:t>
            </w:r>
          </w:p>
        </w:tc>
      </w:tr>
      <w:tr>
        <w:trPr/>
        <w:tc>
          <w:tcPr>
            <w:tcW w:w="1335" w:type="dxa"/>
            <w:tcBorders>
              <w:top w:val="single" w:sz="4" w:space="0" w:color="000000"/>
              <w:start w:val="single" w:sz="4" w:space="0" w:color="000000"/>
              <w:bottom w:val="single" w:sz="4" w:space="0" w:color="000000"/>
              <w:end w:val="single" w:sz="4" w:space="0" w:color="000000"/>
            </w:tcBorders>
          </w:tcPr>
          <w:p>
            <w:pPr>
              <w:pStyle w:val="Normal"/>
              <w:rPr/>
            </w:pPr>
            <w:r>
              <w:rPr/>
              <w:t>2004</w:t>
            </w:r>
          </w:p>
        </w:tc>
        <w:tc>
          <w:tcPr>
            <w:tcW w:w="19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55,000</w:t>
            </w:r>
          </w:p>
        </w:tc>
      </w:tr>
    </w:tbl>
    <w:p>
      <w:pPr>
        <w:pStyle w:val="Normal"/>
        <w:rPr/>
      </w:pPr>
      <w:r>
        <w:rPr/>
      </w:r>
    </w:p>
    <w:p>
      <w:pPr>
        <w:pStyle w:val="Normal"/>
        <w:rPr/>
      </w:pPr>
      <w:r>
        <w:rPr/>
        <w:t>From 2001 to 2004 the amounts become due quarterly in March, June, September and December in equal installments of $12.5 million (2001 and 2002) and $13.75 million (2003 and 2004).</w:t>
      </w:r>
    </w:p>
    <w:p>
      <w:pPr>
        <w:pStyle w:val="Normal"/>
        <w:ind w:start="1440" w:end="0"/>
        <w:rPr/>
      </w:pPr>
      <w:r>
        <w:rPr/>
      </w:r>
    </w:p>
    <w:p>
      <w:pPr>
        <w:pStyle w:val="Normal"/>
        <w:rPr/>
      </w:pPr>
      <w:r>
        <w:rPr/>
        <w:tab/>
        <w:t xml:space="preserve">Refer to the enclosed presentation Acquisition Debt Repayment – Discussion of Major Issues dated May 29, 2000.  Given rescheduling of loan quarterly payments of March and June 2000 to September, the loan repayment and the stock redemption payment schedules are being adjusted to reflect this change and the change on the FX rate (US dollar / Real) as well.  </w:t>
      </w:r>
      <w:r>
        <w:rPr>
          <w:b/>
        </w:rPr>
        <w:t>[Company to provide further explanation.]</w:t>
      </w:r>
    </w:p>
    <w:p>
      <w:pPr>
        <w:pStyle w:val="Normal"/>
        <w:ind w:start="1440" w:end="0"/>
        <w:rPr>
          <w:b/>
        </w:rPr>
      </w:pPr>
      <w:r>
        <w:rPr>
          <w:b/>
        </w:rPr>
      </w:r>
      <w:r>
        <w:br w:type="page"/>
      </w:r>
    </w:p>
    <w:p>
      <w:pPr>
        <w:pStyle w:val="Normal"/>
        <w:jc w:val="center"/>
        <w:rPr>
          <w:b/>
        </w:rPr>
      </w:pPr>
      <w:r>
        <w:rPr>
          <w:b/>
        </w:rPr>
        <w:t>SCHEDULE 7.02(b)(iii)(B)</w:t>
      </w:r>
    </w:p>
    <w:p>
      <w:pPr>
        <w:pStyle w:val="Normal"/>
        <w:jc w:val="center"/>
        <w:rPr>
          <w:b/>
        </w:rPr>
      </w:pPr>
      <w:r>
        <w:rPr>
          <w:b/>
        </w:rPr>
      </w:r>
    </w:p>
    <w:p>
      <w:pPr>
        <w:pStyle w:val="Normal"/>
        <w:jc w:val="center"/>
        <w:rPr>
          <w:b/>
        </w:rPr>
      </w:pPr>
      <w:r>
        <w:rPr>
          <w:b/>
        </w:rPr>
        <w:t>REORGANIZATION OR RECAPITALIZATION</w:t>
      </w:r>
    </w:p>
    <w:p>
      <w:pPr>
        <w:pStyle w:val="Normal"/>
        <w:ind w:start="1440" w:end="0"/>
        <w:rPr>
          <w:b/>
        </w:rPr>
      </w:pPr>
      <w:r>
        <w:rPr>
          <w:b/>
        </w:rPr>
      </w:r>
    </w:p>
    <w:p>
      <w:pPr>
        <w:pStyle w:val="Normal"/>
        <w:ind w:start="1440" w:end="0"/>
        <w:rPr/>
      </w:pPr>
      <w:r>
        <w:rPr/>
      </w:r>
    </w:p>
    <w:p>
      <w:pPr>
        <w:pStyle w:val="Normal"/>
        <w:rPr/>
      </w:pPr>
      <w:r>
        <w:rPr/>
        <w:t xml:space="preserve">None, except for those required as per the determination of the Financial Flow (Fluxo Financeiro) of the First Amendment to the Concession Contract # 187/98- ANEEL.  </w:t>
      </w:r>
      <w:r>
        <w:rPr>
          <w:b/>
        </w:rPr>
        <w:t>[Company to provide further explanation.]</w:t>
      </w:r>
    </w:p>
    <w:p>
      <w:pPr>
        <w:pStyle w:val="Normal"/>
        <w:ind w:start="1440" w:end="0"/>
        <w:rPr>
          <w:b/>
        </w:rPr>
      </w:pPr>
      <w:r>
        <w:rPr>
          <w:b/>
        </w:rPr>
      </w:r>
      <w:r>
        <w:br w:type="page"/>
      </w:r>
    </w:p>
    <w:p>
      <w:pPr>
        <w:pStyle w:val="Normal"/>
        <w:jc w:val="center"/>
        <w:rPr>
          <w:b/>
        </w:rPr>
      </w:pPr>
      <w:r>
        <w:rPr>
          <w:b/>
        </w:rPr>
        <w:t>SCHEDULE 7.02(b)(iv)(B)</w:t>
      </w:r>
    </w:p>
    <w:p>
      <w:pPr>
        <w:pStyle w:val="Normal"/>
        <w:jc w:val="center"/>
        <w:rPr>
          <w:b/>
        </w:rPr>
      </w:pPr>
      <w:r>
        <w:rPr>
          <w:b/>
        </w:rPr>
      </w:r>
    </w:p>
    <w:p>
      <w:pPr>
        <w:pStyle w:val="Normal"/>
        <w:jc w:val="center"/>
        <w:rPr>
          <w:b/>
        </w:rPr>
      </w:pPr>
      <w:r>
        <w:rPr>
          <w:b/>
        </w:rPr>
        <w:t>STOCK SPLIT</w:t>
      </w:r>
    </w:p>
    <w:p>
      <w:pPr>
        <w:pStyle w:val="Normal"/>
        <w:ind w:start="1440" w:end="0"/>
        <w:rPr>
          <w:b/>
        </w:rPr>
      </w:pPr>
      <w:r>
        <w:rPr>
          <w:b/>
        </w:rPr>
      </w:r>
    </w:p>
    <w:p>
      <w:pPr>
        <w:pStyle w:val="Normal"/>
        <w:rPr/>
      </w:pPr>
      <w:r>
        <w:rPr/>
        <w:t>None, except for the split referred to in Schedule 7.02(b)(iii)(C).</w:t>
      </w:r>
    </w:p>
    <w:p>
      <w:pPr>
        <w:pStyle w:val="Normal"/>
        <w:rPr/>
      </w:pPr>
      <w:r>
        <w:rPr/>
      </w:r>
      <w:r>
        <w:br w:type="page"/>
      </w:r>
    </w:p>
    <w:p>
      <w:pPr>
        <w:pStyle w:val="Normal"/>
        <w:jc w:val="center"/>
        <w:rPr>
          <w:b/>
        </w:rPr>
      </w:pPr>
      <w:r>
        <w:rPr>
          <w:b/>
        </w:rPr>
        <w:t>SCHEDULE 7.02(b)(vi)</w:t>
      </w:r>
    </w:p>
    <w:p>
      <w:pPr>
        <w:pStyle w:val="Normal"/>
        <w:jc w:val="center"/>
        <w:rPr>
          <w:b/>
        </w:rPr>
      </w:pPr>
      <w:r>
        <w:rPr>
          <w:b/>
        </w:rPr>
      </w:r>
    </w:p>
    <w:p>
      <w:pPr>
        <w:pStyle w:val="Normal"/>
        <w:jc w:val="center"/>
        <w:rPr>
          <w:b/>
        </w:rPr>
      </w:pPr>
      <w:r>
        <w:rPr>
          <w:b/>
        </w:rPr>
        <w:t>CONSTRUCTION OF PROPERTY</w:t>
      </w:r>
    </w:p>
    <w:p>
      <w:pPr>
        <w:pStyle w:val="Normal"/>
        <w:ind w:start="-720" w:end="0"/>
        <w:rPr>
          <w:b/>
        </w:rPr>
      </w:pPr>
      <w:r>
        <w:rPr>
          <w:b/>
        </w:rPr>
      </w:r>
    </w:p>
    <w:p>
      <w:pPr>
        <w:pStyle w:val="Normal"/>
        <w:rPr/>
      </w:pPr>
      <w:r>
        <w:rPr/>
        <w:tab/>
        <w:t>Elektro has planned the construction of a new corporate headquarters and to relocate its offices to Campinas.  This project will allow the centralization of several activities, such as call centers (7 to 1), distributions operations centers (7 to 1) that are presently being carried on in several locations.</w:t>
      </w:r>
    </w:p>
    <w:p>
      <w:pPr>
        <w:pStyle w:val="Normal"/>
        <w:rPr/>
      </w:pPr>
      <w:r>
        <w:rPr/>
      </w:r>
    </w:p>
    <w:p>
      <w:pPr>
        <w:pStyle w:val="Normal"/>
        <w:rPr/>
      </w:pPr>
      <w:r>
        <w:rPr/>
        <w:t>Total project cost R$26 million:</w:t>
      </w:r>
    </w:p>
    <w:p>
      <w:pPr>
        <w:pStyle w:val="Normal"/>
        <w:rPr/>
      </w:pPr>
      <w:r>
        <w:rPr/>
      </w:r>
    </w:p>
    <w:p>
      <w:pPr>
        <w:pStyle w:val="Normal"/>
        <w:numPr>
          <w:ilvl w:val="0"/>
          <w:numId w:val="4"/>
        </w:numPr>
        <w:ind w:hanging="360" w:start="720" w:end="0"/>
        <w:rPr/>
      </w:pPr>
      <w:r>
        <w:rPr/>
        <w:t>Land: R$8 million</w:t>
      </w:r>
    </w:p>
    <w:p>
      <w:pPr>
        <w:pStyle w:val="Normal"/>
        <w:numPr>
          <w:ilvl w:val="0"/>
          <w:numId w:val="4"/>
        </w:numPr>
        <w:ind w:hanging="360" w:start="720" w:end="0"/>
        <w:rPr/>
      </w:pPr>
      <w:r>
        <w:rPr/>
        <w:t>Building &amp; infrastructure: R$14 million</w:t>
      </w:r>
    </w:p>
    <w:p>
      <w:pPr>
        <w:pStyle w:val="Normal"/>
        <w:numPr>
          <w:ilvl w:val="0"/>
          <w:numId w:val="4"/>
        </w:numPr>
        <w:ind w:hanging="360" w:start="720" w:end="0"/>
        <w:rPr/>
      </w:pPr>
      <w:r>
        <w:rPr/>
        <w:t>Cost of transfer and others: R$4 million</w:t>
      </w:r>
    </w:p>
    <w:p>
      <w:pPr>
        <w:pStyle w:val="Normal"/>
        <w:rPr/>
      </w:pPr>
      <w:r>
        <w:rPr/>
      </w:r>
    </w:p>
    <w:p>
      <w:pPr>
        <w:pStyle w:val="BodyTextIndent3"/>
        <w:ind w:start="0" w:end="0"/>
        <w:rPr>
          <w:rFonts w:ascii="Times New Roman" w:hAnsi="Times New Roman" w:cs="Times New Roman"/>
          <w:b w:val="false"/>
        </w:rPr>
      </w:pPr>
      <w:r>
        <w:rPr>
          <w:rFonts w:cs="Times New Roman" w:ascii="Times New Roman" w:hAnsi="Times New Roman"/>
          <w:b w:val="false"/>
        </w:rPr>
        <w:t>Current status:</w:t>
      </w:r>
    </w:p>
    <w:p>
      <w:pPr>
        <w:pStyle w:val="Normal"/>
        <w:rPr>
          <w:rFonts w:ascii="Times New Roman" w:hAnsi="Times New Roman" w:cs="Times New Roman"/>
          <w:b/>
        </w:rPr>
      </w:pPr>
      <w:r>
        <w:rPr>
          <w:rFonts w:cs="Times New Roman"/>
          <w:b/>
        </w:rPr>
      </w:r>
    </w:p>
    <w:p>
      <w:pPr>
        <w:pStyle w:val="Normal"/>
        <w:numPr>
          <w:ilvl w:val="0"/>
          <w:numId w:val="5"/>
        </w:numPr>
        <w:ind w:hanging="360" w:start="720" w:end="0"/>
        <w:rPr/>
      </w:pPr>
      <w:r>
        <w:rPr/>
        <w:t>All land already acquired</w:t>
      </w:r>
    </w:p>
    <w:p>
      <w:pPr>
        <w:pStyle w:val="Normal"/>
        <w:numPr>
          <w:ilvl w:val="0"/>
          <w:numId w:val="5"/>
        </w:numPr>
        <w:ind w:hanging="360" w:start="720" w:end="0"/>
        <w:rPr/>
      </w:pPr>
      <w:r>
        <w:rPr/>
        <w:t xml:space="preserve">Contractor already selected : SOEDIL – Sociedade Edificadora Limitada. </w:t>
      </w:r>
    </w:p>
    <w:p>
      <w:pPr>
        <w:pStyle w:val="Normal"/>
        <w:numPr>
          <w:ilvl w:val="0"/>
          <w:numId w:val="5"/>
        </w:numPr>
        <w:ind w:hanging="360" w:start="720" w:end="0"/>
        <w:rPr/>
      </w:pPr>
      <w:r>
        <w:rPr/>
        <w:t>Pre-contract already signed with certain conditions precedent including performance bonds and bank guarantee (20% of the construction cost)</w:t>
      </w:r>
    </w:p>
    <w:p>
      <w:pPr>
        <w:pStyle w:val="Normal"/>
        <w:numPr>
          <w:ilvl w:val="0"/>
          <w:numId w:val="5"/>
        </w:numPr>
        <w:ind w:hanging="360" w:start="720" w:end="0"/>
        <w:rPr/>
      </w:pPr>
      <w:r>
        <w:rPr/>
        <w:t xml:space="preserve">Construction to start on July 1, 2000 and be concluded by December 31, 2000 </w:t>
      </w:r>
      <w:r>
        <w:rPr>
          <w:b/>
        </w:rPr>
        <w:t>[Company to confirm start date]</w:t>
      </w:r>
    </w:p>
    <w:p>
      <w:pPr>
        <w:pStyle w:val="Normal"/>
        <w:numPr>
          <w:ilvl w:val="0"/>
          <w:numId w:val="5"/>
        </w:numPr>
        <w:ind w:hanging="360" w:start="720" w:end="0"/>
        <w:rPr/>
      </w:pPr>
      <w:r>
        <w:rPr/>
        <w:t>Office transfer schedule for February 2001</w:t>
      </w:r>
    </w:p>
    <w:p>
      <w:pPr>
        <w:pStyle w:val="Normal"/>
        <w:rPr/>
      </w:pPr>
      <w:r>
        <w:rPr/>
      </w:r>
    </w:p>
    <w:p>
      <w:pPr>
        <w:pStyle w:val="Normal"/>
        <w:rPr/>
      </w:pPr>
      <w:r>
        <w:rPr/>
        <w:t>[Investment Funding Structure:</w:t>
      </w:r>
    </w:p>
    <w:p>
      <w:pPr>
        <w:pStyle w:val="Normal"/>
        <w:rPr/>
      </w:pPr>
      <w:r>
        <w:rPr/>
      </w:r>
    </w:p>
    <w:p>
      <w:pPr>
        <w:pStyle w:val="Normal"/>
        <w:numPr>
          <w:ilvl w:val="0"/>
          <w:numId w:val="3"/>
        </w:numPr>
        <w:ind w:hanging="360" w:start="720" w:end="0"/>
        <w:rPr/>
      </w:pPr>
      <w:r>
        <w:rPr/>
        <w:t>R$12.5 million through the issuance of non-convertible, IGPM+11.4% p.a., 5-year bullet principal, debentures to be placed with Elektro’s pension fund at Fundação CESP. Refer to the debentures issuance prospect listed on Schedule 7.02(b)(xi).</w:t>
      </w:r>
    </w:p>
    <w:p>
      <w:pPr>
        <w:pStyle w:val="Normal"/>
        <w:ind w:start="720" w:end="0"/>
        <w:rPr/>
      </w:pPr>
      <w:r>
        <w:rPr/>
      </w:r>
    </w:p>
    <w:p>
      <w:pPr>
        <w:pStyle w:val="Normal"/>
        <w:numPr>
          <w:ilvl w:val="0"/>
          <w:numId w:val="3"/>
        </w:numPr>
        <w:ind w:hanging="360" w:start="720" w:end="0"/>
        <w:rPr/>
      </w:pPr>
      <w:r>
        <w:rPr/>
        <w:t xml:space="preserve">R$13.5 million through the investment of Fundação CESP in the real estate (office building) and through the use of allowed investment limits under the Elektro’s pension fund at Fundação CESP.  </w:t>
      </w:r>
      <w:r>
        <w:rPr>
          <w:b/>
        </w:rPr>
        <w:t>[Company to confirm]</w:t>
      </w:r>
      <w:r>
        <w:br w:type="page"/>
      </w:r>
    </w:p>
    <w:p>
      <w:pPr>
        <w:pStyle w:val="Normal"/>
        <w:rPr/>
      </w:pPr>
      <w:r>
        <w:rPr/>
      </w:r>
    </w:p>
    <w:p>
      <w:pPr>
        <w:pStyle w:val="Normal"/>
        <w:jc w:val="center"/>
        <w:rPr>
          <w:b/>
        </w:rPr>
      </w:pPr>
      <w:r>
        <w:rPr>
          <w:b/>
        </w:rPr>
        <w:t>SCHEDULE 7.02(b)(viii)</w:t>
      </w:r>
    </w:p>
    <w:p>
      <w:pPr>
        <w:pStyle w:val="Normal"/>
        <w:jc w:val="center"/>
        <w:rPr>
          <w:b/>
        </w:rPr>
      </w:pPr>
      <w:r>
        <w:rPr>
          <w:b/>
        </w:rPr>
      </w:r>
    </w:p>
    <w:p>
      <w:pPr>
        <w:pStyle w:val="Normal"/>
        <w:jc w:val="center"/>
        <w:rPr>
          <w:b/>
        </w:rPr>
      </w:pPr>
      <w:r>
        <w:rPr>
          <w:b/>
        </w:rPr>
        <w:t>DISPOSITION OR INCUMBRANCE OF ASSETS</w:t>
      </w:r>
    </w:p>
    <w:p>
      <w:pPr>
        <w:pStyle w:val="Normal"/>
        <w:jc w:val="center"/>
        <w:rPr>
          <w:b/>
        </w:rPr>
      </w:pPr>
      <w:r>
        <w:rPr>
          <w:b/>
        </w:rPr>
      </w:r>
    </w:p>
    <w:p>
      <w:pPr>
        <w:pStyle w:val="Normal"/>
        <w:ind w:hanging="720" w:start="720" w:end="0"/>
        <w:jc w:val="start"/>
        <w:rPr/>
      </w:pPr>
      <w:r>
        <w:rPr/>
        <w:t>1.</w:t>
        <w:tab/>
        <w:t xml:space="preserve">[Elektro intends to engage in a series of transactions whereby it will sell certain real property assets.  The aggregate value of the these transactions is expected to be less than ten million </w:t>
      </w:r>
      <w:r>
        <w:rPr>
          <w:b/>
        </w:rPr>
        <w:t>[dollars]</w:t>
      </w:r>
      <w:r>
        <w:rPr/>
        <w:t xml:space="preserve"> and such dispositions are considered by Elektro to be in the ordinary course of business.]  </w:t>
      </w:r>
      <w:r>
        <w:rPr>
          <w:b/>
        </w:rPr>
        <w:t>[Company to confirm]</w:t>
      </w:r>
    </w:p>
    <w:p>
      <w:pPr>
        <w:pStyle w:val="Normal"/>
        <w:ind w:hanging="720" w:start="720" w:end="0"/>
        <w:jc w:val="start"/>
        <w:rPr>
          <w:b/>
        </w:rPr>
      </w:pPr>
      <w:r>
        <w:rPr>
          <w:b/>
        </w:rPr>
      </w:r>
    </w:p>
    <w:p>
      <w:pPr>
        <w:pStyle w:val="Normal"/>
        <w:ind w:hanging="720" w:start="720" w:end="0"/>
        <w:rPr/>
      </w:pPr>
      <w:r>
        <w:rPr/>
        <w:t>2.</w:t>
        <w:tab/>
        <w:t>None, except for a limited pledge of receivables-to-be as may be required for the Banco Nacional de Desenvolvimento Economico e Social (“BNDES”) financing agreement to be negotiated upon BNDES approval of the requested CAPEX financing.</w:t>
      </w:r>
      <w:r>
        <w:br w:type="page"/>
      </w:r>
    </w:p>
    <w:p>
      <w:pPr>
        <w:pStyle w:val="Normal"/>
        <w:jc w:val="center"/>
        <w:rPr>
          <w:b/>
        </w:rPr>
      </w:pPr>
      <w:r>
        <w:rPr>
          <w:b/>
        </w:rPr>
        <w:t>SCHEDULE 7.02(b)(xi)</w:t>
      </w:r>
    </w:p>
    <w:p>
      <w:pPr>
        <w:pStyle w:val="Normal"/>
        <w:jc w:val="center"/>
        <w:rPr>
          <w:b/>
        </w:rPr>
      </w:pPr>
      <w:r>
        <w:rPr>
          <w:b/>
        </w:rPr>
      </w:r>
    </w:p>
    <w:p>
      <w:pPr>
        <w:pStyle w:val="Normal"/>
        <w:jc w:val="center"/>
        <w:rPr>
          <w:b/>
        </w:rPr>
      </w:pPr>
      <w:r>
        <w:rPr>
          <w:b/>
        </w:rPr>
        <w:t>INCUR OBLIGATION FOR INDEBTEDNESS</w:t>
      </w:r>
    </w:p>
    <w:p>
      <w:pPr>
        <w:pStyle w:val="Normal"/>
        <w:rPr>
          <w:b/>
        </w:rPr>
      </w:pPr>
      <w:r>
        <w:rPr>
          <w:b/>
        </w:rPr>
      </w:r>
    </w:p>
    <w:p>
      <w:pPr>
        <w:pStyle w:val="Normal"/>
        <w:ind w:hanging="720" w:start="720" w:end="0"/>
        <w:rPr/>
      </w:pPr>
      <w:r>
        <w:rPr/>
        <w:t>1.</w:t>
        <w:tab/>
        <w:t>Refer to the R$100 million, six-year, CAPEX financing currently under approval at BNDES listed on Schedule 7.02(b)(viii).</w:t>
      </w:r>
    </w:p>
    <w:p>
      <w:pPr>
        <w:pStyle w:val="Normal"/>
        <w:rPr/>
      </w:pPr>
      <w:r>
        <w:rPr/>
      </w:r>
    </w:p>
    <w:p>
      <w:pPr>
        <w:pStyle w:val="Normal"/>
        <w:ind w:hanging="720" w:start="720" w:end="0"/>
        <w:rPr/>
      </w:pPr>
      <w:r>
        <w:rPr/>
        <w:t>2.</w:t>
        <w:tab/>
        <w:t>On May 10, 2000, Elektro issued a single series of non-convertible common debentures in an amount of R$62,500,000 at an interest rate of IGP-DI + 11.4% p.a., 5-year bullet principal with semi-annual payments.  20% of the debentures amount (R$ 12,500,000.00) will be placed in the market (Elektro’s own pension plan) to fund the construction of Electro’s new headquarters.  The remaining 80% will be held in treasury.</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776"/>
          <w:pgNumType w:fmt="decimal"/>
          <w:formProt w:val="false"/>
          <w:titlePg/>
          <w:textDirection w:val="lrTb"/>
          <w:docGrid w:type="default" w:linePitch="360" w:charSpace="0"/>
        </w:sectPr>
        <w:pStyle w:val="Normal"/>
        <w:rPr/>
      </w:pPr>
      <w:r>
        <w:rPr/>
      </w:r>
    </w:p>
    <w:p>
      <w:pPr>
        <w:pStyle w:val="Normal"/>
        <w:jc w:val="center"/>
        <w:rPr>
          <w:b/>
        </w:rPr>
      </w:pPr>
      <w:r>
        <w:rPr>
          <w:b/>
        </w:rPr>
        <w:t>SCHEDULE 7.02(d)</w:t>
      </w:r>
    </w:p>
    <w:p>
      <w:pPr>
        <w:pStyle w:val="Normal"/>
        <w:rPr>
          <w:b/>
        </w:rPr>
      </w:pPr>
      <w:r>
        <w:rPr>
          <w:b/>
        </w:rPr>
      </w:r>
    </w:p>
    <w:p>
      <w:pPr>
        <w:pStyle w:val="Normal"/>
        <w:jc w:val="center"/>
        <w:rPr>
          <w:b/>
        </w:rPr>
      </w:pPr>
      <w:r>
        <w:rPr>
          <w:b/>
        </w:rPr>
        <w:t>CAPITAL AND DEVELOPMENT BUDGET</w:t>
      </w:r>
    </w:p>
    <w:p>
      <w:pPr>
        <w:pStyle w:val="Normal"/>
        <w:rPr>
          <w:b/>
        </w:rPr>
      </w:pPr>
      <w:r>
        <w:rPr>
          <w:b/>
        </w:rPr>
      </w:r>
    </w:p>
    <w:p>
      <w:pPr>
        <w:pStyle w:val="Normal"/>
        <w:rPr>
          <w:b/>
        </w:rPr>
      </w:pPr>
      <w:r>
        <w:rPr>
          <w:b/>
        </w:rPr>
        <w:t>[Discuss whether to include in Schedule 7.02(b).]</w:t>
      </w:r>
    </w:p>
    <w:p>
      <w:pPr>
        <w:pStyle w:val="Normal"/>
        <w:rPr>
          <w:b/>
        </w:rPr>
      </w:pPr>
      <w:r>
        <w:rPr>
          <w:b/>
        </w:rPr>
      </w:r>
    </w:p>
    <w:tbl>
      <w:tblPr>
        <w:tblW w:w="14020" w:type="dxa"/>
        <w:jc w:val="start"/>
        <w:tblInd w:w="0" w:type="dxa"/>
        <w:tblLayout w:type="fixed"/>
        <w:tblCellMar>
          <w:top w:w="0" w:type="dxa"/>
          <w:start w:w="30" w:type="dxa"/>
          <w:bottom w:w="0" w:type="dxa"/>
          <w:end w:w="30" w:type="dxa"/>
        </w:tblCellMar>
      </w:tblPr>
      <w:tblGrid>
        <w:gridCol w:w="3138"/>
        <w:gridCol w:w="2668"/>
        <w:gridCol w:w="1205"/>
        <w:gridCol w:w="830"/>
        <w:gridCol w:w="843"/>
        <w:gridCol w:w="1185"/>
        <w:gridCol w:w="940"/>
        <w:gridCol w:w="1148"/>
        <w:gridCol w:w="1123"/>
        <w:gridCol w:w="940"/>
      </w:tblGrid>
      <w:tr>
        <w:trPr>
          <w:trHeight w:val="408" w:hRule="atLeast"/>
        </w:trPr>
        <w:tc>
          <w:tcPr>
            <w:tcW w:w="7011" w:type="dxa"/>
            <w:gridSpan w:val="3"/>
            <w:tcBorders>
              <w:top w:val="single" w:sz="2" w:space="0" w:color="000000"/>
              <w:start w:val="single" w:sz="2" w:space="0" w:color="000000"/>
              <w:bottom w:val="single" w:sz="2" w:space="0" w:color="000000"/>
            </w:tcBorders>
          </w:tcPr>
          <w:p>
            <w:pPr>
              <w:pStyle w:val="Normal"/>
              <w:jc w:val="center"/>
              <w:rPr>
                <w:b/>
                <w:color w:val="000000"/>
                <w:sz w:val="36"/>
                <w:lang w:eastAsia="en-US"/>
              </w:rPr>
            </w:pPr>
            <w:r>
              <w:rPr>
                <w:b/>
                <w:color w:val="000000"/>
                <w:sz w:val="36"/>
                <w:lang w:eastAsia="en-US"/>
              </w:rPr>
              <w:t>Capital Program Expenditure/2000</w:t>
            </w:r>
          </w:p>
        </w:tc>
        <w:tc>
          <w:tcPr>
            <w:tcW w:w="0" w:type="dxa"/>
            <w:vMerge w:val="continue"/>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0" w:type="dxa"/>
            <w:vMerge w:val="continue"/>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830"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843"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1185"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940"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1148"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1123" w:type="dxa"/>
            <w:tcBorders>
              <w:top w:val="single" w:sz="2" w:space="0" w:color="000000"/>
              <w:bottom w:val="single" w:sz="2" w:space="0" w:color="000000"/>
            </w:tcBorders>
          </w:tcPr>
          <w:p>
            <w:pPr>
              <w:pStyle w:val="Normal"/>
              <w:snapToGrid w:val="false"/>
              <w:jc w:val="center"/>
              <w:rPr>
                <w:b/>
                <w:color w:val="000000"/>
                <w:sz w:val="36"/>
                <w:lang w:eastAsia="en-US"/>
              </w:rPr>
            </w:pPr>
            <w:r>
              <w:rPr>
                <w:b/>
                <w:color w:val="000000"/>
                <w:sz w:val="36"/>
                <w:lang w:eastAsia="en-US"/>
              </w:rPr>
            </w:r>
          </w:p>
        </w:tc>
        <w:tc>
          <w:tcPr>
            <w:tcW w:w="940" w:type="dxa"/>
            <w:tcBorders>
              <w:top w:val="single" w:sz="2" w:space="0" w:color="000000"/>
              <w:bottom w:val="single" w:sz="2" w:space="0" w:color="000000"/>
              <w:end w:val="single" w:sz="2" w:space="0" w:color="000000"/>
            </w:tcBorders>
          </w:tcPr>
          <w:p>
            <w:pPr>
              <w:pStyle w:val="Normal"/>
              <w:snapToGrid w:val="false"/>
              <w:jc w:val="center"/>
              <w:rPr>
                <w:b/>
                <w:color w:val="000000"/>
                <w:sz w:val="36"/>
                <w:lang w:eastAsia="en-US"/>
              </w:rPr>
            </w:pPr>
            <w:r>
              <w:rPr>
                <w:b/>
                <w:color w:val="000000"/>
                <w:sz w:val="36"/>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Actual</w:t>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June Y.T.D.</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July</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August</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September</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October</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November</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December</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u w:val="single"/>
                <w:lang w:eastAsia="en-US"/>
              </w:rPr>
            </w:pPr>
            <w:r>
              <w:rPr>
                <w:b/>
                <w:color w:val="000000"/>
                <w:sz w:val="22"/>
                <w:u w:val="single"/>
                <w:lang w:eastAsia="en-US"/>
              </w:rPr>
              <w:t>Total</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u w:val="single"/>
                <w:lang w:eastAsia="en-US"/>
              </w:rPr>
            </w:pPr>
            <w:r>
              <w:rPr>
                <w:b/>
                <w:color w:val="000000"/>
                <w:sz w:val="22"/>
                <w:u w:val="single"/>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Customers Requests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8,652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1,986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1,565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1,565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1,565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1,565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1,104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18,002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IT</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701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1,064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1,910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78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78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78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78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3,987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Infrastructure</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1,592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3,261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1,359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2,581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163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89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1,391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10,436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Transmission Lines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53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31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123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368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491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341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1,406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Maintenance and Safety</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11,919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4,505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3,985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3,160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2,869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3,061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2,499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31,998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Research &amp; Development</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198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99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99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99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690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Mandatory Improvements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Rural Programs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357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1,569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1,101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1,049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881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565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470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5,992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Substations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3,385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183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887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1,489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1,607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1,446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1,179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10,175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Sub Total</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         </w:t>
            </w:r>
            <w:r>
              <w:rPr>
                <w:b/>
                <w:color w:val="000000"/>
                <w:sz w:val="22"/>
                <w:lang w:eastAsia="en-US"/>
              </w:rPr>
              <w:t xml:space="preserve">26,658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12,765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10,937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10,144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7,629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7,394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7,160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82,686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7011"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Proj. Especiais - To centralize Distrib. Operating Center (COD)</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1,100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1,000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500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1,000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1,400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1,400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6,400 </w:t>
            </w:r>
          </w:p>
        </w:tc>
      </w:tr>
      <w:tr>
        <w:trPr>
          <w:trHeight w:val="245" w:hRule="atLeast"/>
        </w:trPr>
        <w:tc>
          <w:tcPr>
            <w:tcW w:w="7011"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Proj. Especiais - Fleet (80 Toyotas)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1,181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1,400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919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3,500 </w:t>
            </w:r>
          </w:p>
        </w:tc>
      </w:tr>
      <w:tr>
        <w:trPr>
          <w:trHeight w:val="245" w:hRule="atLeast"/>
        </w:trPr>
        <w:tc>
          <w:tcPr>
            <w:tcW w:w="7011"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Proj. Especiais - Metering Inspection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250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250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250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250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1,000 </w:t>
            </w:r>
          </w:p>
        </w:tc>
      </w:tr>
      <w:tr>
        <w:trPr>
          <w:trHeight w:val="245" w:hRule="atLeast"/>
        </w:trPr>
        <w:tc>
          <w:tcPr>
            <w:tcW w:w="7011"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 xml:space="preserve">Proj. Especiais - Telecommunications </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595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595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1,189 </w:t>
            </w:r>
          </w:p>
        </w:tc>
      </w:tr>
      <w:tr>
        <w:trPr>
          <w:trHeight w:val="245" w:hRule="atLeast"/>
        </w:trPr>
        <w:tc>
          <w:tcPr>
            <w:tcW w:w="7011"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Proj. Especiais - Telemetering - Links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710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710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Proj. Especiais - Others</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567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67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67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67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67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67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900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22"/>
                <w:lang w:eastAsia="en-US"/>
              </w:rPr>
            </w:pPr>
            <w:r>
              <w:rPr>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b/>
                <w:color w:val="000000"/>
                <w:sz w:val="22"/>
                <w:lang w:eastAsia="en-US"/>
              </w:rPr>
            </w:pPr>
            <w:r>
              <w:rPr>
                <w:b/>
                <w:color w:val="000000"/>
                <w:sz w:val="22"/>
                <w:lang w:eastAsia="en-US"/>
              </w:rPr>
              <w:t>Sub Total:</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                </w:t>
            </w:r>
            <w:r>
              <w:rPr>
                <w:b/>
                <w:color w:val="000000"/>
                <w:sz w:val="22"/>
                <w:lang w:eastAsia="en-US"/>
              </w:rPr>
              <w:t xml:space="preserve">-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2,848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3,061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3,040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1,317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1,717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1,717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13,700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color w:val="000000"/>
                <w:sz w:val="22"/>
                <w:lang w:eastAsia="en-US"/>
              </w:rPr>
            </w:pPr>
            <w:r>
              <w:rPr>
                <w:color w:val="000000"/>
                <w:sz w:val="22"/>
                <w:lang w:eastAsia="en-US"/>
              </w:rPr>
              <w:t>Capitalized Labor</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           </w:t>
            </w:r>
            <w:r>
              <w:rPr>
                <w:color w:val="000000"/>
                <w:sz w:val="22"/>
                <w:lang w:eastAsia="en-US"/>
              </w:rPr>
              <w:t xml:space="preserve">9,592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1,200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2"/>
                <w:lang w:eastAsia="en-US"/>
              </w:rPr>
            </w:pPr>
            <w:r>
              <w:rPr>
                <w:color w:val="000000"/>
                <w:sz w:val="22"/>
                <w:lang w:eastAsia="en-US"/>
              </w:rPr>
              <w:t xml:space="preserve">16,794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22"/>
                <w:lang w:eastAsia="en-US"/>
              </w:rPr>
            </w:pPr>
            <w:r>
              <w:rPr>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b/>
                <w:color w:val="000000"/>
                <w:sz w:val="22"/>
                <w:lang w:eastAsia="en-US"/>
              </w:rPr>
            </w:pPr>
            <w:r>
              <w:rPr>
                <w:b/>
                <w:color w:val="000000"/>
                <w:sz w:val="22"/>
                <w:lang w:eastAsia="en-US"/>
              </w:rPr>
              <w:t>Sub Total</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         </w:t>
            </w:r>
            <w:r>
              <w:rPr>
                <w:b/>
                <w:color w:val="000000"/>
                <w:sz w:val="22"/>
                <w:lang w:eastAsia="en-US"/>
              </w:rPr>
              <w:t xml:space="preserve">36,249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16,814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15,198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14,385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10,146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10,311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10,077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113,180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b/>
                <w:color w:val="000000"/>
                <w:sz w:val="22"/>
                <w:lang w:eastAsia="en-US"/>
              </w:rPr>
            </w:pPr>
            <w:r>
              <w:rPr>
                <w:b/>
                <w:color w:val="000000"/>
                <w:sz w:val="22"/>
                <w:lang w:eastAsia="en-US"/>
              </w:rPr>
              <w:t>HQ</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           </w:t>
            </w:r>
            <w:r>
              <w:rPr>
                <w:b/>
                <w:color w:val="000000"/>
                <w:sz w:val="22"/>
                <w:lang w:eastAsia="en-US"/>
              </w:rPr>
              <w:t xml:space="preserve">7,424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2,166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3,083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3,205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3,402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3,077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2,563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24,921 </w:t>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84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4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c>
          <w:tcPr>
            <w:tcW w:w="9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2"/>
                <w:lang w:eastAsia="en-US"/>
              </w:rPr>
            </w:pPr>
            <w:r>
              <w:rPr>
                <w:color w:val="000000"/>
                <w:sz w:val="22"/>
                <w:lang w:eastAsia="en-US"/>
              </w:rPr>
            </w:r>
          </w:p>
        </w:tc>
      </w:tr>
      <w:tr>
        <w:trPr>
          <w:trHeight w:val="245" w:hRule="atLeast"/>
        </w:trPr>
        <w:tc>
          <w:tcPr>
            <w:tcW w:w="3138" w:type="dxa"/>
            <w:tcBorders>
              <w:top w:val="single" w:sz="2" w:space="0" w:color="000000"/>
              <w:start w:val="single" w:sz="2" w:space="0" w:color="000000"/>
              <w:bottom w:val="single" w:sz="2" w:space="0" w:color="000000"/>
              <w:end w:val="single" w:sz="2" w:space="0" w:color="000000"/>
            </w:tcBorders>
          </w:tcPr>
          <w:p>
            <w:pPr>
              <w:pStyle w:val="Normal"/>
              <w:rPr>
                <w:b/>
                <w:color w:val="000000"/>
                <w:sz w:val="22"/>
                <w:lang w:eastAsia="en-US"/>
              </w:rPr>
            </w:pPr>
            <w:r>
              <w:rPr>
                <w:b/>
                <w:color w:val="000000"/>
                <w:sz w:val="22"/>
                <w:lang w:eastAsia="en-US"/>
              </w:rPr>
              <w:t>Total Geral</w:t>
            </w:r>
          </w:p>
        </w:tc>
        <w:tc>
          <w:tcPr>
            <w:tcW w:w="2668" w:type="dxa"/>
            <w:tcBorders>
              <w:top w:val="single" w:sz="2" w:space="0" w:color="000000"/>
              <w:start w:val="single" w:sz="2" w:space="0" w:color="000000"/>
              <w:bottom w:val="single" w:sz="2" w:space="0" w:color="000000"/>
              <w:end w:val="single" w:sz="2" w:space="0" w:color="000000"/>
            </w:tcBorders>
          </w:tcPr>
          <w:p>
            <w:pPr>
              <w:pStyle w:val="Normal"/>
              <w:snapToGrid w:val="false"/>
              <w:jc w:val="end"/>
              <w:rPr>
                <w:b/>
                <w:color w:val="000000"/>
                <w:sz w:val="22"/>
                <w:lang w:eastAsia="en-US"/>
              </w:rPr>
            </w:pPr>
            <w:r>
              <w:rPr>
                <w:b/>
                <w:color w:val="000000"/>
                <w:sz w:val="22"/>
                <w:lang w:eastAsia="en-US"/>
              </w:rPr>
            </w:r>
          </w:p>
        </w:tc>
        <w:tc>
          <w:tcPr>
            <w:tcW w:w="120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         </w:t>
            </w:r>
            <w:r>
              <w:rPr>
                <w:b/>
                <w:color w:val="000000"/>
                <w:sz w:val="22"/>
                <w:lang w:eastAsia="en-US"/>
              </w:rPr>
              <w:t xml:space="preserve">43,674 </w:t>
            </w:r>
          </w:p>
        </w:tc>
        <w:tc>
          <w:tcPr>
            <w:tcW w:w="83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18,980 </w:t>
            </w:r>
          </w:p>
        </w:tc>
        <w:tc>
          <w:tcPr>
            <w:tcW w:w="84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18,281 </w:t>
            </w:r>
          </w:p>
        </w:tc>
        <w:tc>
          <w:tcPr>
            <w:tcW w:w="1185"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17,590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13,548 </w:t>
            </w:r>
          </w:p>
        </w:tc>
        <w:tc>
          <w:tcPr>
            <w:tcW w:w="1148"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13,388 </w:t>
            </w:r>
          </w:p>
        </w:tc>
        <w:tc>
          <w:tcPr>
            <w:tcW w:w="1123"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12,640 </w:t>
            </w:r>
          </w:p>
        </w:tc>
        <w:tc>
          <w:tcPr>
            <w:tcW w:w="940" w:type="dxa"/>
            <w:tcBorders>
              <w:top w:val="single" w:sz="2" w:space="0" w:color="000000"/>
              <w:start w:val="single" w:sz="2" w:space="0" w:color="000000"/>
              <w:bottom w:val="single" w:sz="2" w:space="0" w:color="000000"/>
              <w:end w:val="single" w:sz="2" w:space="0" w:color="000000"/>
            </w:tcBorders>
          </w:tcPr>
          <w:p>
            <w:pPr>
              <w:pStyle w:val="Normal"/>
              <w:jc w:val="end"/>
              <w:rPr>
                <w:b/>
                <w:color w:val="000000"/>
                <w:sz w:val="22"/>
                <w:lang w:eastAsia="en-US"/>
              </w:rPr>
            </w:pPr>
            <w:r>
              <w:rPr>
                <w:b/>
                <w:color w:val="000000"/>
                <w:sz w:val="22"/>
                <w:lang w:eastAsia="en-US"/>
              </w:rPr>
              <w:t xml:space="preserve">138,101 </w:t>
            </w:r>
          </w:p>
        </w:tc>
      </w:tr>
    </w:tbl>
    <w:p>
      <w:pPr>
        <w:sectPr>
          <w:headerReference w:type="default" r:id="rId24"/>
          <w:headerReference w:type="first" r:id="rId25"/>
          <w:footerReference w:type="default" r:id="rId26"/>
          <w:footerReference w:type="first" r:id="rId27"/>
          <w:footnotePr>
            <w:numFmt w:val="decimal"/>
          </w:footnotePr>
          <w:type w:val="nextPage"/>
          <w:pgSz w:orient="landscape" w:w="15840" w:h="12240"/>
          <w:pgMar w:left="720" w:right="720" w:gutter="0" w:header="720" w:top="1440" w:footer="720" w:bottom="1440"/>
          <w:pgNumType w:fmt="decimal"/>
          <w:formProt w:val="false"/>
          <w:titlePg/>
          <w:textDirection w:val="lrTb"/>
          <w:docGrid w:type="default" w:linePitch="360" w:charSpace="0"/>
        </w:sectPr>
        <w:pStyle w:val="Normal"/>
        <w:rPr>
          <w:b/>
        </w:rPr>
      </w:pPr>
      <w:r>
        <w:rPr>
          <w:b/>
        </w:rPr>
      </w:r>
    </w:p>
    <w:p>
      <w:pPr>
        <w:pStyle w:val="Normal"/>
        <w:jc w:val="center"/>
        <w:rPr>
          <w:b/>
        </w:rPr>
      </w:pPr>
      <w:r>
        <w:rPr>
          <w:b/>
        </w:rPr>
        <w:t>SCHEDULE 7.04</w:t>
      </w:r>
    </w:p>
    <w:p>
      <w:pPr>
        <w:pStyle w:val="Normal"/>
        <w:jc w:val="center"/>
        <w:rPr>
          <w:b/>
        </w:rPr>
      </w:pPr>
      <w:r>
        <w:rPr>
          <w:b/>
        </w:rPr>
      </w:r>
    </w:p>
    <w:p>
      <w:pPr>
        <w:pStyle w:val="Normal"/>
        <w:jc w:val="center"/>
        <w:rPr>
          <w:b/>
        </w:rPr>
      </w:pPr>
      <w:r>
        <w:rPr>
          <w:b/>
        </w:rPr>
        <w:t>DEBT AGREEMENTS</w:t>
      </w:r>
    </w:p>
    <w:p>
      <w:pPr>
        <w:pStyle w:val="Normal"/>
        <w:jc w:val="center"/>
        <w:rPr>
          <w:b/>
        </w:rPr>
      </w:pPr>
      <w:r>
        <w:rPr>
          <w:b/>
        </w:rPr>
      </w:r>
    </w:p>
    <w:p>
      <w:pPr>
        <w:pStyle w:val="Normal"/>
        <w:jc w:val="center"/>
        <w:rPr>
          <w:b/>
        </w:rPr>
      </w:pPr>
      <w:r>
        <w:rPr>
          <w:b/>
        </w:rPr>
      </w:r>
    </w:p>
    <w:tbl>
      <w:tblPr>
        <w:tblW w:w="9316" w:type="dxa"/>
        <w:jc w:val="start"/>
        <w:tblInd w:w="0" w:type="dxa"/>
        <w:tblLayout w:type="fixed"/>
        <w:tblCellMar>
          <w:top w:w="0" w:type="dxa"/>
          <w:start w:w="0" w:type="dxa"/>
          <w:bottom w:w="0" w:type="dxa"/>
          <w:end w:w="0" w:type="dxa"/>
        </w:tblCellMar>
      </w:tblPr>
      <w:tblGrid>
        <w:gridCol w:w="3960"/>
        <w:gridCol w:w="115"/>
        <w:gridCol w:w="1224"/>
        <w:gridCol w:w="115"/>
        <w:gridCol w:w="1224"/>
        <w:gridCol w:w="115"/>
        <w:gridCol w:w="1224"/>
        <w:gridCol w:w="115"/>
        <w:gridCol w:w="1224"/>
      </w:tblGrid>
      <w:tr>
        <w:trPr>
          <w:tblHeader w:val="true"/>
        </w:trPr>
        <w:tc>
          <w:tcPr>
            <w:tcW w:w="3960" w:type="dxa"/>
            <w:tcBorders/>
            <w:vAlign w:val="bottom"/>
          </w:tcPr>
          <w:p>
            <w:pPr>
              <w:pStyle w:val="Normal"/>
              <w:snapToGrid w:val="false"/>
              <w:jc w:val="center"/>
              <w:rPr>
                <w:b/>
                <w:sz w:val="20"/>
              </w:rPr>
            </w:pPr>
            <w:r>
              <w:rPr>
                <w:b/>
                <w:sz w:val="20"/>
              </w:rPr>
            </w:r>
          </w:p>
        </w:tc>
        <w:tc>
          <w:tcPr>
            <w:tcW w:w="115" w:type="dxa"/>
            <w:tcBorders/>
            <w:vAlign w:val="bottom"/>
          </w:tcPr>
          <w:p>
            <w:pPr>
              <w:pStyle w:val="Normal"/>
              <w:snapToGrid w:val="false"/>
              <w:jc w:val="center"/>
              <w:rPr>
                <w:b/>
                <w:sz w:val="20"/>
              </w:rPr>
            </w:pPr>
            <w:r>
              <w:rPr>
                <w:b/>
                <w:sz w:val="20"/>
              </w:rPr>
            </w:r>
          </w:p>
        </w:tc>
        <w:tc>
          <w:tcPr>
            <w:tcW w:w="2563" w:type="dxa"/>
            <w:gridSpan w:val="3"/>
            <w:tcBorders>
              <w:bottom w:val="single" w:sz="4" w:space="0" w:color="000000"/>
            </w:tcBorders>
            <w:vAlign w:val="bottom"/>
          </w:tcPr>
          <w:p>
            <w:pPr>
              <w:pStyle w:val="Normal"/>
              <w:jc w:val="center"/>
              <w:rPr>
                <w:b/>
                <w:sz w:val="20"/>
              </w:rPr>
            </w:pPr>
            <w:r>
              <w:rPr>
                <w:b/>
                <w:sz w:val="20"/>
              </w:rPr>
              <w:t>Short Term - R$ mil</w:t>
            </w:r>
          </w:p>
        </w:tc>
        <w:tc>
          <w:tcPr>
            <w:tcW w:w="115" w:type="dxa"/>
            <w:tcBorders/>
            <w:vAlign w:val="bottom"/>
          </w:tcPr>
          <w:p>
            <w:pPr>
              <w:pStyle w:val="Normal"/>
              <w:snapToGrid w:val="false"/>
              <w:jc w:val="center"/>
              <w:rPr>
                <w:b/>
                <w:sz w:val="20"/>
              </w:rPr>
            </w:pPr>
            <w:r>
              <w:rPr>
                <w:b/>
                <w:sz w:val="20"/>
              </w:rPr>
            </w:r>
          </w:p>
        </w:tc>
        <w:tc>
          <w:tcPr>
            <w:tcW w:w="2563" w:type="dxa"/>
            <w:gridSpan w:val="3"/>
            <w:tcBorders>
              <w:bottom w:val="single" w:sz="4" w:space="0" w:color="000000"/>
            </w:tcBorders>
            <w:vAlign w:val="bottom"/>
          </w:tcPr>
          <w:p>
            <w:pPr>
              <w:pStyle w:val="Normal"/>
              <w:jc w:val="center"/>
              <w:rPr>
                <w:b/>
                <w:sz w:val="20"/>
              </w:rPr>
            </w:pPr>
            <w:r>
              <w:rPr>
                <w:b/>
                <w:sz w:val="20"/>
              </w:rPr>
              <w:t>Long Term - R$ mil</w:t>
            </w:r>
          </w:p>
        </w:tc>
      </w:tr>
      <w:tr>
        <w:trPr>
          <w:tblHeader w:val="true"/>
        </w:trPr>
        <w:tc>
          <w:tcPr>
            <w:tcW w:w="3960" w:type="dxa"/>
            <w:tcBorders/>
            <w:vAlign w:val="bottom"/>
          </w:tcPr>
          <w:p>
            <w:pPr>
              <w:pStyle w:val="Normal"/>
              <w:snapToGrid w:val="false"/>
              <w:jc w:val="center"/>
              <w:rPr>
                <w:b/>
                <w:sz w:val="20"/>
              </w:rPr>
            </w:pPr>
            <w:r>
              <w:rPr>
                <w:b/>
                <w:sz w:val="20"/>
              </w:rPr>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30.06.00</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31.03.00</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30.06.00</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31.03.00</w:t>
            </w:r>
          </w:p>
        </w:tc>
      </w:tr>
      <w:tr>
        <w:trPr>
          <w:tblHeader w:val="true"/>
        </w:trPr>
        <w:tc>
          <w:tcPr>
            <w:tcW w:w="3960" w:type="dxa"/>
            <w:tcBorders/>
            <w:vAlign w:val="bottom"/>
          </w:tcPr>
          <w:p>
            <w:pPr>
              <w:pStyle w:val="Normal"/>
              <w:snapToGrid w:val="false"/>
              <w:jc w:val="center"/>
              <w:rPr>
                <w:b/>
                <w:sz w:val="20"/>
              </w:rPr>
            </w:pPr>
            <w:r>
              <w:rPr>
                <w:b/>
                <w:sz w:val="20"/>
              </w:rPr>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Service</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Service</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Principal</w:t>
            </w:r>
          </w:p>
        </w:tc>
        <w:tc>
          <w:tcPr>
            <w:tcW w:w="115" w:type="dxa"/>
            <w:tcBorders/>
            <w:vAlign w:val="bottom"/>
          </w:tcPr>
          <w:p>
            <w:pPr>
              <w:pStyle w:val="Normal"/>
              <w:snapToGrid w:val="false"/>
              <w:jc w:val="center"/>
              <w:rPr>
                <w:b/>
                <w:sz w:val="20"/>
              </w:rPr>
            </w:pPr>
            <w:r>
              <w:rPr>
                <w:b/>
                <w:sz w:val="20"/>
              </w:rPr>
            </w:r>
          </w:p>
        </w:tc>
        <w:tc>
          <w:tcPr>
            <w:tcW w:w="1224" w:type="dxa"/>
            <w:tcBorders>
              <w:bottom w:val="single" w:sz="4" w:space="0" w:color="000000"/>
            </w:tcBorders>
            <w:vAlign w:val="bottom"/>
          </w:tcPr>
          <w:p>
            <w:pPr>
              <w:pStyle w:val="Normal"/>
              <w:jc w:val="center"/>
              <w:rPr>
                <w:b/>
                <w:sz w:val="20"/>
              </w:rPr>
            </w:pPr>
            <w:r>
              <w:rPr>
                <w:b/>
                <w:sz w:val="20"/>
              </w:rPr>
              <w:t>Principal</w:t>
            </w:r>
          </w:p>
        </w:tc>
      </w:tr>
      <w:tr>
        <w:trPr/>
        <w:tc>
          <w:tcPr>
            <w:tcW w:w="3960" w:type="dxa"/>
            <w:tcBorders/>
            <w:vAlign w:val="bottom"/>
          </w:tcPr>
          <w:p>
            <w:pPr>
              <w:pStyle w:val="Normal"/>
              <w:rPr>
                <w:b/>
                <w:sz w:val="20"/>
              </w:rPr>
            </w:pPr>
            <w:r>
              <w:rPr>
                <w:b/>
                <w:sz w:val="20"/>
              </w:rPr>
              <w:t>Intercompany Loans</w:t>
            </w:r>
          </w:p>
        </w:tc>
        <w:tc>
          <w:tcPr>
            <w:tcW w:w="115" w:type="dxa"/>
            <w:tcBorders/>
            <w:vAlign w:val="bottom"/>
          </w:tcPr>
          <w:p>
            <w:pPr>
              <w:pStyle w:val="Normal"/>
              <w:snapToGrid w:val="false"/>
              <w:rPr>
                <w:b/>
                <w:sz w:val="20"/>
              </w:rPr>
            </w:pPr>
            <w:r>
              <w:rPr>
                <w:b/>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r>
      <w:tr>
        <w:trPr/>
        <w:tc>
          <w:tcPr>
            <w:tcW w:w="3960" w:type="dxa"/>
            <w:tcBorders/>
            <w:vAlign w:val="bottom"/>
          </w:tcPr>
          <w:p>
            <w:pPr>
              <w:pStyle w:val="Normal"/>
              <w:snapToGrid w:val="false"/>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r>
      <w:tr>
        <w:trPr/>
        <w:tc>
          <w:tcPr>
            <w:tcW w:w="3960" w:type="dxa"/>
            <w:tcBorders/>
            <w:vAlign w:val="bottom"/>
          </w:tcPr>
          <w:p>
            <w:pPr>
              <w:pStyle w:val="Normal"/>
              <w:tabs>
                <w:tab w:val="clear" w:pos="720"/>
                <w:tab w:val="left" w:pos="360" w:leader="none"/>
              </w:tabs>
              <w:rPr>
                <w:sz w:val="20"/>
              </w:rPr>
            </w:pPr>
            <w:r>
              <w:rPr>
                <w:sz w:val="20"/>
              </w:rPr>
              <w:tab/>
            </w:r>
            <w:r>
              <w:rPr>
                <w:b/>
                <w:sz w:val="20"/>
              </w:rPr>
              <w:t>Local Currency Debt</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r>
      <w:tr>
        <w:trPr/>
        <w:tc>
          <w:tcPr>
            <w:tcW w:w="3960" w:type="dxa"/>
            <w:tcBorders/>
            <w:vAlign w:val="bottom"/>
          </w:tcPr>
          <w:p>
            <w:pPr>
              <w:pStyle w:val="Normal"/>
              <w:tabs>
                <w:tab w:val="clear" w:pos="720"/>
                <w:tab w:val="left" w:pos="360" w:leader="none"/>
                <w:tab w:val="left" w:pos="3960" w:leader="dot"/>
              </w:tabs>
              <w:rPr>
                <w:sz w:val="20"/>
              </w:rPr>
            </w:pPr>
            <w:r>
              <w:rPr>
                <w:sz w:val="20"/>
              </w:rPr>
              <w:tab/>
              <w:t>ETB - Energia Total Brasil Ltda</w:t>
              <w:tab/>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41</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566</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21.779</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21.457</w:t>
            </w:r>
          </w:p>
        </w:tc>
      </w:tr>
      <w:tr>
        <w:trPr/>
        <w:tc>
          <w:tcPr>
            <w:tcW w:w="3960" w:type="dxa"/>
            <w:tcBorders/>
            <w:vAlign w:val="bottom"/>
          </w:tcPr>
          <w:p>
            <w:pPr>
              <w:pStyle w:val="Normal"/>
              <w:tabs>
                <w:tab w:val="clear" w:pos="720"/>
                <w:tab w:val="left" w:pos="360" w:leader="none"/>
                <w:tab w:val="left" w:pos="3398" w:leader="dot"/>
              </w:tabs>
              <w:snapToGrid w:val="false"/>
              <w:rPr>
                <w:sz w:val="20"/>
              </w:rPr>
            </w:pPr>
            <w:r>
              <w:rPr>
                <w:sz w:val="20"/>
              </w:rPr>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single" w:sz="4" w:space="0" w:color="000000"/>
            </w:tcBorders>
            <w:vAlign w:val="bottom"/>
          </w:tcPr>
          <w:p>
            <w:pPr>
              <w:pStyle w:val="Normal"/>
              <w:jc w:val="end"/>
              <w:rPr>
                <w:sz w:val="20"/>
              </w:rPr>
            </w:pPr>
            <w:r>
              <w:rPr>
                <w:sz w:val="20"/>
              </w:rPr>
              <w:t>41</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single" w:sz="4" w:space="0" w:color="000000"/>
            </w:tcBorders>
            <w:vAlign w:val="bottom"/>
          </w:tcPr>
          <w:p>
            <w:pPr>
              <w:pStyle w:val="Normal"/>
              <w:jc w:val="end"/>
              <w:rPr>
                <w:sz w:val="20"/>
              </w:rPr>
            </w:pPr>
            <w:r>
              <w:rPr>
                <w:sz w:val="20"/>
              </w:rPr>
              <w:t>566</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single" w:sz="4" w:space="0" w:color="000000"/>
            </w:tcBorders>
            <w:vAlign w:val="bottom"/>
          </w:tcPr>
          <w:p>
            <w:pPr>
              <w:pStyle w:val="Normal"/>
              <w:jc w:val="end"/>
              <w:rPr>
                <w:sz w:val="20"/>
              </w:rPr>
            </w:pPr>
            <w:r>
              <w:rPr>
                <w:sz w:val="20"/>
              </w:rPr>
              <w:t>21.779</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single" w:sz="4" w:space="0" w:color="000000"/>
            </w:tcBorders>
            <w:vAlign w:val="bottom"/>
          </w:tcPr>
          <w:p>
            <w:pPr>
              <w:pStyle w:val="Normal"/>
              <w:jc w:val="end"/>
              <w:rPr>
                <w:sz w:val="20"/>
              </w:rPr>
            </w:pPr>
            <w:r>
              <w:rPr>
                <w:sz w:val="20"/>
              </w:rPr>
              <w:t>21.457</w:t>
            </w:r>
          </w:p>
        </w:tc>
      </w:tr>
      <w:tr>
        <w:trPr/>
        <w:tc>
          <w:tcPr>
            <w:tcW w:w="3960" w:type="dxa"/>
            <w:tcBorders/>
            <w:vAlign w:val="bottom"/>
          </w:tcPr>
          <w:p>
            <w:pPr>
              <w:pStyle w:val="Normal"/>
              <w:tabs>
                <w:tab w:val="clear" w:pos="720"/>
                <w:tab w:val="left" w:pos="360" w:leader="none"/>
                <w:tab w:val="left" w:pos="3398" w:leader="dot"/>
              </w:tabs>
              <w:snapToGrid w:val="false"/>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r>
      <w:tr>
        <w:trPr/>
        <w:tc>
          <w:tcPr>
            <w:tcW w:w="3960" w:type="dxa"/>
            <w:tcBorders/>
            <w:vAlign w:val="bottom"/>
          </w:tcPr>
          <w:p>
            <w:pPr>
              <w:pStyle w:val="Normal"/>
              <w:tabs>
                <w:tab w:val="clear" w:pos="720"/>
                <w:tab w:val="left" w:pos="360" w:leader="none"/>
                <w:tab w:val="left" w:pos="3398" w:leader="dot"/>
              </w:tabs>
              <w:rPr/>
            </w:pPr>
            <w:r>
              <w:rPr>
                <w:sz w:val="20"/>
              </w:rPr>
              <w:tab/>
            </w:r>
            <w:r>
              <w:rPr>
                <w:b/>
                <w:sz w:val="20"/>
              </w:rPr>
              <w:t>US$ denominated debt</w:t>
            </w:r>
          </w:p>
        </w:tc>
        <w:tc>
          <w:tcPr>
            <w:tcW w:w="115" w:type="dxa"/>
            <w:tcBorders/>
            <w:vAlign w:val="bottom"/>
          </w:tcPr>
          <w:p>
            <w:pPr>
              <w:pStyle w:val="Normal"/>
              <w:snapToGrid w:val="false"/>
              <w:rPr>
                <w:b/>
                <w:sz w:val="20"/>
              </w:rPr>
            </w:pPr>
            <w:r>
              <w:rPr>
                <w:b/>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snapToGrid w:val="false"/>
              <w:jc w:val="end"/>
              <w:rPr>
                <w:sz w:val="20"/>
              </w:rPr>
            </w:pPr>
            <w:r>
              <w:rPr>
                <w:sz w:val="20"/>
              </w:rPr>
            </w:r>
          </w:p>
        </w:tc>
      </w:tr>
      <w:tr>
        <w:trPr/>
        <w:tc>
          <w:tcPr>
            <w:tcW w:w="3960" w:type="dxa"/>
            <w:tcBorders/>
            <w:vAlign w:val="bottom"/>
          </w:tcPr>
          <w:p>
            <w:pPr>
              <w:pStyle w:val="Normal"/>
              <w:tabs>
                <w:tab w:val="clear" w:pos="720"/>
                <w:tab w:val="left" w:pos="360" w:leader="none"/>
                <w:tab w:val="left" w:pos="3960" w:leader="dot"/>
              </w:tabs>
              <w:rPr>
                <w:sz w:val="20"/>
              </w:rPr>
            </w:pPr>
            <w:r>
              <w:rPr>
                <w:sz w:val="20"/>
              </w:rPr>
              <w:tab/>
              <w:t>Terraco Investments</w:t>
              <w:tab/>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1.668</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1.619</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333.630</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323.862</w:t>
            </w:r>
          </w:p>
        </w:tc>
      </w:tr>
      <w:tr>
        <w:trPr/>
        <w:tc>
          <w:tcPr>
            <w:tcW w:w="3960" w:type="dxa"/>
            <w:tcBorders/>
            <w:vAlign w:val="bottom"/>
          </w:tcPr>
          <w:p>
            <w:pPr>
              <w:pStyle w:val="Normal"/>
              <w:tabs>
                <w:tab w:val="clear" w:pos="720"/>
                <w:tab w:val="left" w:pos="360" w:leader="none"/>
                <w:tab w:val="left" w:pos="3960" w:leader="dot"/>
              </w:tabs>
              <w:rPr>
                <w:sz w:val="20"/>
              </w:rPr>
            </w:pPr>
            <w:r>
              <w:rPr>
                <w:sz w:val="20"/>
              </w:rPr>
              <w:tab/>
              <w:t>EPC - Empresa Paranaense</w:t>
              <w:tab/>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272</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264</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54.320</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52.730</w:t>
            </w:r>
          </w:p>
        </w:tc>
      </w:tr>
      <w:tr>
        <w:trPr/>
        <w:tc>
          <w:tcPr>
            <w:tcW w:w="3960" w:type="dxa"/>
            <w:tcBorders/>
            <w:vAlign w:val="bottom"/>
          </w:tcPr>
          <w:p>
            <w:pPr>
              <w:pStyle w:val="Normal"/>
              <w:tabs>
                <w:tab w:val="clear" w:pos="720"/>
                <w:tab w:val="left" w:pos="360" w:leader="none"/>
                <w:tab w:val="left" w:pos="3960" w:leader="dot"/>
              </w:tabs>
              <w:rPr>
                <w:sz w:val="20"/>
              </w:rPr>
            </w:pPr>
            <w:r>
              <w:rPr>
                <w:sz w:val="20"/>
              </w:rPr>
              <w:tab/>
              <w:t>Enron Investimentos Energéticos Ltda</w:t>
              <w:tab/>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30</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29</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6.058</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5.880</w:t>
            </w:r>
          </w:p>
        </w:tc>
      </w:tr>
      <w:tr>
        <w:trPr/>
        <w:tc>
          <w:tcPr>
            <w:tcW w:w="3960" w:type="dxa"/>
            <w:tcBorders/>
            <w:vAlign w:val="bottom"/>
          </w:tcPr>
          <w:p>
            <w:pPr>
              <w:pStyle w:val="Normal"/>
              <w:tabs>
                <w:tab w:val="clear" w:pos="720"/>
                <w:tab w:val="left" w:pos="360" w:leader="none"/>
                <w:tab w:val="left" w:pos="3960" w:leader="dot"/>
              </w:tabs>
              <w:rPr>
                <w:sz w:val="20"/>
              </w:rPr>
            </w:pPr>
            <w:r>
              <w:rPr>
                <w:sz w:val="20"/>
              </w:rPr>
              <w:tab/>
              <w:t>ETB - Energia Total Brasil Ltda</w:t>
              <w:tab/>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1.175</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12.559</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439.554</w:t>
            </w:r>
          </w:p>
        </w:tc>
        <w:tc>
          <w:tcPr>
            <w:tcW w:w="115" w:type="dxa"/>
            <w:tcBorders/>
            <w:vAlign w:val="bottom"/>
          </w:tcPr>
          <w:p>
            <w:pPr>
              <w:pStyle w:val="Normal"/>
              <w:snapToGrid w:val="false"/>
              <w:rPr>
                <w:sz w:val="20"/>
              </w:rPr>
            </w:pPr>
            <w:r>
              <w:rPr>
                <w:sz w:val="20"/>
              </w:rPr>
            </w:r>
          </w:p>
        </w:tc>
        <w:tc>
          <w:tcPr>
            <w:tcW w:w="1224" w:type="dxa"/>
            <w:tcBorders/>
            <w:vAlign w:val="bottom"/>
          </w:tcPr>
          <w:p>
            <w:pPr>
              <w:pStyle w:val="Normal"/>
              <w:jc w:val="end"/>
              <w:rPr>
                <w:sz w:val="20"/>
              </w:rPr>
            </w:pPr>
            <w:r>
              <w:rPr>
                <w:sz w:val="20"/>
              </w:rPr>
              <w:t>426.685</w:t>
            </w:r>
          </w:p>
        </w:tc>
      </w:tr>
      <w:tr>
        <w:trPr/>
        <w:tc>
          <w:tcPr>
            <w:tcW w:w="3960" w:type="dxa"/>
            <w:tcBorders/>
            <w:vAlign w:val="bottom"/>
          </w:tcPr>
          <w:p>
            <w:pPr>
              <w:pStyle w:val="Normal"/>
              <w:tabs>
                <w:tab w:val="clear" w:pos="720"/>
                <w:tab w:val="left" w:pos="360" w:leader="none"/>
                <w:tab w:val="left" w:pos="3398" w:leader="dot"/>
              </w:tabs>
              <w:snapToGrid w:val="false"/>
              <w:rPr>
                <w:sz w:val="20"/>
              </w:rPr>
            </w:pPr>
            <w:r>
              <w:rPr>
                <w:sz w:val="20"/>
              </w:rPr>
            </w:r>
          </w:p>
        </w:tc>
        <w:tc>
          <w:tcPr>
            <w:tcW w:w="115" w:type="dxa"/>
            <w:tcBorders/>
            <w:vAlign w:val="bottom"/>
          </w:tcPr>
          <w:p>
            <w:pPr>
              <w:pStyle w:val="Normal"/>
              <w:snapToGrid w:val="false"/>
              <w:rPr>
                <w:sz w:val="20"/>
              </w:rPr>
            </w:pPr>
            <w:r>
              <w:rPr>
                <w:sz w:val="20"/>
              </w:rPr>
            </w:r>
          </w:p>
        </w:tc>
        <w:tc>
          <w:tcPr>
            <w:tcW w:w="1224" w:type="dxa"/>
            <w:tcBorders>
              <w:top w:val="single" w:sz="4" w:space="0" w:color="000000"/>
            </w:tcBorders>
            <w:vAlign w:val="bottom"/>
          </w:tcPr>
          <w:p>
            <w:pPr>
              <w:pStyle w:val="Normal"/>
              <w:jc w:val="end"/>
              <w:rPr>
                <w:sz w:val="20"/>
              </w:rPr>
            </w:pPr>
            <w:r>
              <w:rPr>
                <w:sz w:val="20"/>
              </w:rPr>
              <w:t>3.145</w:t>
            </w:r>
          </w:p>
        </w:tc>
        <w:tc>
          <w:tcPr>
            <w:tcW w:w="115" w:type="dxa"/>
            <w:tcBorders/>
            <w:vAlign w:val="bottom"/>
          </w:tcPr>
          <w:p>
            <w:pPr>
              <w:pStyle w:val="Normal"/>
              <w:snapToGrid w:val="false"/>
              <w:rPr>
                <w:sz w:val="20"/>
              </w:rPr>
            </w:pPr>
            <w:r>
              <w:rPr>
                <w:sz w:val="20"/>
              </w:rPr>
            </w:r>
          </w:p>
        </w:tc>
        <w:tc>
          <w:tcPr>
            <w:tcW w:w="1224" w:type="dxa"/>
            <w:tcBorders>
              <w:top w:val="single" w:sz="4" w:space="0" w:color="000000"/>
            </w:tcBorders>
            <w:vAlign w:val="bottom"/>
          </w:tcPr>
          <w:p>
            <w:pPr>
              <w:pStyle w:val="Normal"/>
              <w:jc w:val="end"/>
              <w:rPr>
                <w:sz w:val="20"/>
              </w:rPr>
            </w:pPr>
            <w:r>
              <w:rPr>
                <w:sz w:val="20"/>
              </w:rPr>
              <w:t>14.471</w:t>
            </w:r>
          </w:p>
        </w:tc>
        <w:tc>
          <w:tcPr>
            <w:tcW w:w="115" w:type="dxa"/>
            <w:tcBorders/>
            <w:vAlign w:val="bottom"/>
          </w:tcPr>
          <w:p>
            <w:pPr>
              <w:pStyle w:val="Normal"/>
              <w:snapToGrid w:val="false"/>
              <w:rPr>
                <w:sz w:val="20"/>
              </w:rPr>
            </w:pPr>
            <w:r>
              <w:rPr>
                <w:sz w:val="20"/>
              </w:rPr>
            </w:r>
          </w:p>
        </w:tc>
        <w:tc>
          <w:tcPr>
            <w:tcW w:w="1224" w:type="dxa"/>
            <w:tcBorders>
              <w:top w:val="single" w:sz="4" w:space="0" w:color="000000"/>
            </w:tcBorders>
            <w:vAlign w:val="bottom"/>
          </w:tcPr>
          <w:p>
            <w:pPr>
              <w:pStyle w:val="Normal"/>
              <w:jc w:val="end"/>
              <w:rPr>
                <w:sz w:val="20"/>
              </w:rPr>
            </w:pPr>
            <w:r>
              <w:rPr>
                <w:sz w:val="20"/>
              </w:rPr>
              <w:t>833.562</w:t>
            </w:r>
          </w:p>
        </w:tc>
        <w:tc>
          <w:tcPr>
            <w:tcW w:w="115" w:type="dxa"/>
            <w:tcBorders/>
            <w:vAlign w:val="bottom"/>
          </w:tcPr>
          <w:p>
            <w:pPr>
              <w:pStyle w:val="Normal"/>
              <w:snapToGrid w:val="false"/>
              <w:rPr>
                <w:sz w:val="20"/>
              </w:rPr>
            </w:pPr>
            <w:r>
              <w:rPr>
                <w:sz w:val="20"/>
              </w:rPr>
            </w:r>
          </w:p>
        </w:tc>
        <w:tc>
          <w:tcPr>
            <w:tcW w:w="1224" w:type="dxa"/>
            <w:tcBorders>
              <w:top w:val="single" w:sz="4" w:space="0" w:color="000000"/>
            </w:tcBorders>
            <w:vAlign w:val="bottom"/>
          </w:tcPr>
          <w:p>
            <w:pPr>
              <w:pStyle w:val="Normal"/>
              <w:jc w:val="end"/>
              <w:rPr>
                <w:sz w:val="20"/>
              </w:rPr>
            </w:pPr>
            <w:r>
              <w:rPr>
                <w:sz w:val="20"/>
              </w:rPr>
              <w:t>809.157</w:t>
            </w:r>
          </w:p>
        </w:tc>
      </w:tr>
      <w:tr>
        <w:trPr/>
        <w:tc>
          <w:tcPr>
            <w:tcW w:w="3960" w:type="dxa"/>
            <w:tcBorders/>
            <w:vAlign w:val="bottom"/>
          </w:tcPr>
          <w:p>
            <w:pPr>
              <w:pStyle w:val="Normal"/>
              <w:tabs>
                <w:tab w:val="clear" w:pos="720"/>
                <w:tab w:val="left" w:pos="360" w:leader="none"/>
                <w:tab w:val="left" w:pos="3398" w:leader="dot"/>
              </w:tabs>
              <w:snapToGrid w:val="false"/>
              <w:rPr>
                <w:sz w:val="20"/>
              </w:rPr>
            </w:pPr>
            <w:r>
              <w:rPr>
                <w:sz w:val="20"/>
              </w:rPr>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double" w:sz="4" w:space="0" w:color="000000"/>
            </w:tcBorders>
            <w:vAlign w:val="bottom"/>
          </w:tcPr>
          <w:p>
            <w:pPr>
              <w:pStyle w:val="Normal"/>
              <w:jc w:val="end"/>
              <w:rPr>
                <w:sz w:val="20"/>
              </w:rPr>
            </w:pPr>
            <w:r>
              <w:rPr>
                <w:sz w:val="20"/>
              </w:rPr>
              <w:t>3.186</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double" w:sz="4" w:space="0" w:color="000000"/>
            </w:tcBorders>
            <w:vAlign w:val="bottom"/>
          </w:tcPr>
          <w:p>
            <w:pPr>
              <w:pStyle w:val="Normal"/>
              <w:jc w:val="end"/>
              <w:rPr>
                <w:sz w:val="20"/>
              </w:rPr>
            </w:pPr>
            <w:r>
              <w:rPr>
                <w:sz w:val="20"/>
              </w:rPr>
              <w:t>15.037</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double" w:sz="4" w:space="0" w:color="000000"/>
            </w:tcBorders>
            <w:vAlign w:val="bottom"/>
          </w:tcPr>
          <w:p>
            <w:pPr>
              <w:pStyle w:val="Normal"/>
              <w:jc w:val="end"/>
              <w:rPr>
                <w:sz w:val="20"/>
              </w:rPr>
            </w:pPr>
            <w:r>
              <w:rPr>
                <w:sz w:val="20"/>
              </w:rPr>
              <w:t>855.341</w:t>
            </w:r>
          </w:p>
        </w:tc>
        <w:tc>
          <w:tcPr>
            <w:tcW w:w="115" w:type="dxa"/>
            <w:tcBorders/>
            <w:vAlign w:val="bottom"/>
          </w:tcPr>
          <w:p>
            <w:pPr>
              <w:pStyle w:val="Normal"/>
              <w:snapToGrid w:val="false"/>
              <w:rPr>
                <w:sz w:val="20"/>
              </w:rPr>
            </w:pPr>
            <w:r>
              <w:rPr>
                <w:sz w:val="20"/>
              </w:rPr>
            </w:r>
          </w:p>
        </w:tc>
        <w:tc>
          <w:tcPr>
            <w:tcW w:w="1224" w:type="dxa"/>
            <w:tcBorders>
              <w:top w:val="single" w:sz="4" w:space="0" w:color="000000"/>
              <w:bottom w:val="double" w:sz="4" w:space="0" w:color="000000"/>
            </w:tcBorders>
            <w:vAlign w:val="bottom"/>
          </w:tcPr>
          <w:p>
            <w:pPr>
              <w:pStyle w:val="Normal"/>
              <w:jc w:val="end"/>
              <w:rPr>
                <w:sz w:val="20"/>
              </w:rPr>
            </w:pPr>
            <w:r>
              <w:rPr>
                <w:sz w:val="20"/>
              </w:rPr>
              <w:t>830.614</w:t>
            </w:r>
          </w:p>
        </w:tc>
      </w:tr>
    </w:tbl>
    <w:p>
      <w:pPr>
        <w:pStyle w:val="Normal"/>
        <w:rPr/>
      </w:pPr>
      <w:r>
        <w:rPr/>
      </w:r>
    </w:p>
    <w:p>
      <w:pPr>
        <w:pStyle w:val="Normal"/>
        <w:jc w:val="center"/>
        <w:rPr>
          <w:b/>
        </w:rPr>
      </w:pPr>
      <w:r>
        <w:rPr>
          <w:b/>
        </w:rPr>
      </w:r>
    </w:p>
    <w:p>
      <w:pPr>
        <w:pStyle w:val="Normal"/>
        <w:rPr>
          <w:b/>
        </w:rPr>
      </w:pPr>
      <w:r>
        <w:rPr>
          <w:b/>
        </w:rPr>
        <w:t>[This item to be deleted once Firefly is taken out.]</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 THAT ARE 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all Principal Contracts that are Related Party Contracts and identifies each Retained Subsidiary of the Parent that is the party to each such Related Party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Downstream Agreement dated as of December 4, 1996 among Enron Transportadora Holdings, Ltd.(successor by assignment from Enron Transportadora (Bolivia) S.A.), Enron Electric Mato Grosso do Sul C.V. (“EEMGS”), Enron Electric Power Brazil C.V. (“EEPB”) and SCHL and Shell Gas (Latin America) B.V., amended by Amendment No. 1 dated as of May 16,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Shell Letter Agreement dated as of June 4, 1998 between Enron Electric Power Brazil C.V. (“EEPB”) and SCHL, as successor in interest to SGL.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Operations and Maintenance Advisory Agreement dated May 18, 1999 between Enron Cuiaba Services L.L.C., as advisor, and EPE, as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t>[Company to provide information on 2 additional PPAs (one signed, one pending)]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p>
      <w:pPr>
        <w:pStyle w:val="Normal"/>
        <w:rPr>
          <w:b/>
          <w:u w:val="single"/>
        </w:rPr>
      </w:pPr>
      <w:r>
        <w:rPr>
          <w:b/>
          <w:u w:val="single"/>
        </w:rPr>
      </w:r>
    </w:p>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Elektro</w:t>
    </w:r>
  </w:p>
  <w:p>
    <w:pPr>
      <w:pStyle w:val="Footer"/>
      <w:rPr>
        <w:sz w:val="16"/>
      </w:rPr>
    </w:pPr>
    <w:r>
      <w:rPr>
        <w:sz w:val="16"/>
      </w:rPr>
      <w:t>Houston:280928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Houston:280928 v 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t>To be acquired from Paulista Electrical Distribution L.L.C. in connection with the restructuring of Firefly.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Elektro Draft</w:t>
    </w:r>
  </w:p>
  <w:p>
    <w:pPr>
      <w:pStyle w:val="Header"/>
      <w:jc w:val="end"/>
      <w:rPr>
        <w:b/>
      </w:rPr>
    </w:pPr>
    <w:r>
      <w:rPr>
        <w:b/>
      </w:rPr>
      <w:t>July 27, 2000</w:t>
    </w:r>
  </w:p>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start"/>
      <w:outlineLvl w:val="0"/>
    </w:pPr>
    <w:rPr>
      <w:rFonts w:ascii="Arial" w:hAnsi="Arial" w:cs="Arial"/>
    </w:rPr>
  </w:style>
  <w:style w:type="paragraph" w:styleId="Heading3">
    <w:name w:val="heading 3"/>
    <w:basedOn w:val="Normal"/>
    <w:next w:val="Normal"/>
    <w:qFormat/>
    <w:pPr>
      <w:keepNext w:val="true"/>
      <w:numPr>
        <w:ilvl w:val="2"/>
        <w:numId w:val="1"/>
      </w:numPr>
      <w:ind w:hanging="0" w:start="709" w:end="0"/>
      <w:jc w:val="start"/>
      <w:outlineLvl w:val="2"/>
    </w:pPr>
    <w:rPr>
      <w:rFonts w:ascii="Arial" w:hAnsi="Arial" w:cs="Arial"/>
      <w:b/>
    </w:rPr>
  </w:style>
  <w:style w:type="paragraph" w:styleId="Heading5">
    <w:name w:val="heading 5"/>
    <w:basedOn w:val="Normal"/>
    <w:next w:val="Normal"/>
    <w:qFormat/>
    <w:pPr>
      <w:keepNext w:val="true"/>
      <w:numPr>
        <w:ilvl w:val="4"/>
        <w:numId w:val="1"/>
      </w:numPr>
      <w:jc w:val="center"/>
      <w:outlineLvl w:val="4"/>
    </w:pPr>
    <w:rPr>
      <w:rFonts w:ascii="Arial" w:hAnsi="Arial" w:cs="Arial"/>
      <w:b/>
    </w:rPr>
  </w:style>
  <w:style w:type="paragraph" w:styleId="Heading6">
    <w:name w:val="heading 6"/>
    <w:basedOn w:val="Normal"/>
    <w:next w:val="Normal"/>
    <w:qFormat/>
    <w:pPr>
      <w:keepNext w:val="true"/>
      <w:numPr>
        <w:ilvl w:val="5"/>
        <w:numId w:val="1"/>
      </w:numPr>
      <w:ind w:hanging="0" w:start="1099" w:end="0"/>
      <w:jc w:val="start"/>
      <w:outlineLvl w:val="5"/>
    </w:pPr>
    <w:rPr>
      <w:rFonts w:ascii="Arial" w:hAnsi="Arial" w:cs="Arial"/>
    </w:rPr>
  </w:style>
  <w:style w:type="paragraph" w:styleId="Heading7">
    <w:name w:val="heading 7"/>
    <w:basedOn w:val="Normal"/>
    <w:next w:val="Normal"/>
    <w:qFormat/>
    <w:pPr>
      <w:keepNext w:val="true"/>
      <w:numPr>
        <w:ilvl w:val="6"/>
        <w:numId w:val="1"/>
      </w:numPr>
      <w:ind w:hanging="0" w:start="709" w:end="0"/>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25z0">
    <w:name w:val="WW8Num25z0"/>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start"/>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2">
    <w:name w:val="Body Text Indent 2"/>
    <w:basedOn w:val="Normal"/>
    <w:qFormat/>
    <w:pPr>
      <w:ind w:hanging="0" w:start="708" w:end="0"/>
      <w:jc w:val="start"/>
    </w:pPr>
    <w:rPr>
      <w:rFonts w:ascii="Arial" w:hAnsi="Arial" w:cs="Arial"/>
      <w:b/>
    </w:rPr>
  </w:style>
  <w:style w:type="paragraph" w:styleId="BodyTextIndent3">
    <w:name w:val="Body Text Indent 3"/>
    <w:basedOn w:val="Normal"/>
    <w:qFormat/>
    <w:pPr>
      <w:ind w:hanging="0" w:start="709" w:end="0"/>
      <w:jc w:val="start"/>
    </w:pPr>
    <w:rPr>
      <w:rFonts w:ascii="Arial" w:hAnsi="Arial" w:cs="Arial"/>
      <w:b/>
    </w:rPr>
  </w:style>
  <w:style w:type="paragraph" w:styleId="Subtitle">
    <w:name w:val="Subtitle"/>
    <w:basedOn w:val="Normal"/>
    <w:next w:val="BodyText"/>
    <w:qFormat/>
    <w:pPr>
      <w:jc w:val="center"/>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notes" Target="footnotes.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2000-07-28T10:44:00Z</dcterms:created>
  <dc:creator>Vinson &amp; Elkins L.L.P.</dc:creator>
  <dc:description/>
  <dc:language>en-CA</dc:language>
  <cp:lastModifiedBy>VE</cp:lastModifiedBy>
  <cp:lastPrinted>2000-07-27T21:40:00Z</cp:lastPrinted>
  <dcterms:modified xsi:type="dcterms:W3CDTF">2000-08-01T00:38:00Z</dcterms:modified>
  <cp:revision>3</cp:revision>
  <dc:subject/>
  <dc:title>SCHEDULE 4</dc:title>
</cp:coreProperties>
</file>