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JSW/eap  7/19/2001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Order Instituting Rulemaking into Implementation of Public Utilities Code Section 390.</w:t>
            </w:r>
          </w:p>
          <w:p>
            <w:pPr>
              <w:pStyle w:val="Normal"/>
              <w:rPr/>
            </w:pPr>
            <w:r>
              <w:rPr/>
            </w:r>
          </w:p>
        </w:tc>
        <w:tc>
          <w:tcPr>
            <w:tcW w:w="3287" w:type="dxa"/>
            <w:tcBorders/>
          </w:tcPr>
          <w:p>
            <w:pPr>
              <w:pStyle w:val="Normal"/>
              <w:snapToGrid w:val="false"/>
              <w:jc w:val="center"/>
              <w:rPr/>
            </w:pPr>
            <w:r>
              <w:rPr/>
            </w:r>
          </w:p>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rPr/>
      </w:pPr>
      <w:r>
        <w:rPr/>
        <w:t>ADMINISTRATIVE LAW JUDGE’S RULING</w:t>
        <w:br/>
        <w:t>SHORTENING TIME FOR COMMENT</w:t>
      </w:r>
    </w:p>
    <w:p>
      <w:pPr>
        <w:pStyle w:val="Normal"/>
        <w:suppressAutoHyphens w:val="true"/>
        <w:rPr/>
      </w:pPr>
      <w:r>
        <w:rPr/>
      </w:r>
    </w:p>
    <w:p>
      <w:pPr>
        <w:pStyle w:val="standard"/>
        <w:rPr/>
      </w:pPr>
      <w:r>
        <w:rPr/>
        <w:t xml:space="preserve">On July 13, 2001, the Independent Energy Producers Association (IEP) filed a petition for modification of Decision (D.) 01-06-015 (Petition) in the proceedings listed above.  IEP requests that the reference in D.01-06-015 at page 4 to the date of July 15, 2001 be extended to July 31, 2001.  July 15, 2001 was the date set by the decision for three types of contract modifications to the contracts of qualifying facilities (QFs) which would be deemed reasonable if the modification was “made prior to July 15, 2001.” </w:t>
      </w:r>
    </w:p>
    <w:p>
      <w:pPr>
        <w:pStyle w:val="standard"/>
        <w:rPr/>
      </w:pPr>
      <w:r>
        <w:rPr/>
        <w:t xml:space="preserve">IEP states that due to the July 4, 2001 holiday, and the difficulty of concluding the contract modifications contemplated by the Commission, some QFs need an extension of time in order to consummate their contract amendment negotiations.  IEP also states that the extension would not prejudice any party to this proceeding.  IEP also requests that the response period to the Petition be shortened due to the July 15, 2001 date set by the decision.  </w:t>
      </w:r>
    </w:p>
    <w:p>
      <w:pPr>
        <w:pStyle w:val="standard"/>
        <w:rPr/>
      </w:pPr>
      <w:r>
        <w:rPr/>
        <w:t>On or about July 13, 2001, the Cogeneration Association of California (CAC) submitted for filing a “motion” in support of the IEP’s Petition.</w:t>
      </w:r>
      <w:r>
        <w:rPr>
          <w:rStyle w:val="FootnoteCharacters"/>
          <w:rStyle w:val="FootnoteReference"/>
        </w:rPr>
        <w:footnoteReference w:id="2"/>
      </w:r>
      <w:r>
        <w:rPr/>
        <w:t xml:space="preserve">  CAC states that QF generation has provided important contributions to the state’s overall system reliability and economy.  Due to these long term benefits and the corresponding long term obligations of the QFs, CAC believes that the request for an extension is reasonable. </w:t>
      </w:r>
    </w:p>
    <w:p>
      <w:pPr>
        <w:pStyle w:val="standard"/>
        <w:rPr/>
      </w:pPr>
      <w:r>
        <w:rPr/>
        <w:t>Rule 48(b) of the Commission’s Rules of Practice and Procedure provides that a request for an extension of time to comply with a Commission decision may be made by letter to the Executive Director.  Such a request, however, must be received by the Executive Director at least three business days before the existing date for compliance.  IEP’s request was not submitted to the Commission until July 13, two calendar days before the July 15 date.  One could argue that since the July 15 date is the deadline for deeming certain modifications reasonable, that Rule 48 does not apply because the date of July 15 is not a compliance date.</w:t>
      </w:r>
    </w:p>
    <w:p>
      <w:pPr>
        <w:pStyle w:val="standard"/>
        <w:rPr/>
      </w:pPr>
      <w:r>
        <w:rPr/>
        <w:t xml:space="preserve">Since IEP’s Petition was not filed in time for the full Commission to act on the Petition before July 15, 2001, I will, pursuant to Rules 48 and 63, extend the July 15, 2001 date set forth in D.01-06-015 until the Commission can act on IEP’s Petition.  </w:t>
      </w:r>
    </w:p>
    <w:p>
      <w:pPr>
        <w:pStyle w:val="standard"/>
        <w:rPr/>
      </w:pPr>
      <w:r>
        <w:rPr/>
        <w:t>Due to the establishment of the July 15, 2001 date within the decision, it is in the interest of the parties and the Commission that IEP’s petition be resolved as soon as possible.  Therefore, IEP’s request to shorten time to respond to the Petition is granted.  Interested parties may file a response to IEP’s petition on or before July 27, 2001 with the Commission’s Docket Office.  Anyone filing a response to the Petition shall file and serve the response on the service lists that are captioned in this ruling in accordance with Article 2 of the Commission’s rules.  In addition, an electronic copy of the ruling shall be sent to those persons on the service list who have e-mail addresses on or before July 27, 2001.</w:t>
      </w:r>
    </w:p>
    <w:p>
      <w:pPr>
        <w:pStyle w:val="standard"/>
        <w:keepNext w:val="true"/>
        <w:rPr/>
      </w:pPr>
      <w:r>
        <w:rPr>
          <w:b/>
        </w:rPr>
        <w:t>IT IS RULED</w:t>
      </w:r>
      <w:r>
        <w:rPr/>
        <w:t xml:space="preserve"> that:</w:t>
      </w:r>
    </w:p>
    <w:p>
      <w:pPr>
        <w:pStyle w:val="num1"/>
        <w:numPr>
          <w:ilvl w:val="0"/>
          <w:numId w:val="2"/>
        </w:numPr>
        <w:rPr/>
      </w:pPr>
      <w:r>
        <w:rPr/>
        <w:t>The July 15, 2001 date set forth at page 4 of D.01-06-015 shall be extended until the Commission has an opportunity to consider Independent Energy Producers Association’s (IEP) Petition.</w:t>
      </w:r>
    </w:p>
    <w:p>
      <w:pPr>
        <w:pStyle w:val="num1"/>
        <w:numPr>
          <w:ilvl w:val="0"/>
          <w:numId w:val="2"/>
        </w:numPr>
        <w:rPr/>
      </w:pPr>
      <w:r>
        <w:rPr/>
        <w:t>IEP’s motion to shorten the time for responding to the Petition is granted.</w:t>
      </w:r>
    </w:p>
    <w:p>
      <w:pPr>
        <w:pStyle w:val="letter"/>
        <w:numPr>
          <w:ilvl w:val="0"/>
          <w:numId w:val="3"/>
        </w:numPr>
        <w:rPr/>
      </w:pPr>
      <w:r>
        <w:rPr/>
        <w:t>Interested parties may file a response to IEP’s Petition on or before July 27, 2001.</w:t>
      </w:r>
    </w:p>
    <w:p>
      <w:pPr>
        <w:pStyle w:val="letter"/>
        <w:numPr>
          <w:ilvl w:val="0"/>
          <w:numId w:val="3"/>
        </w:numPr>
        <w:spacing w:before="120" w:after="120"/>
        <w:rPr/>
      </w:pPr>
      <w:r>
        <w:rPr/>
        <w:t>Anyone filing a response to the Petition shall follow the filing and service requirements indicated in this ruling.</w:t>
      </w:r>
    </w:p>
    <w:p>
      <w:pPr>
        <w:pStyle w:val="standard"/>
        <w:rPr/>
      </w:pPr>
      <w:r>
        <w:rPr/>
        <w:t>Dated July 19,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JOHN S. WONG</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John S. Wong</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Administrative Law Judge’s Ruling Shortening Time for Comment on all parties of record in this proceeding or their attorneys of record.</w:t>
      </w:r>
    </w:p>
    <w:p>
      <w:pPr>
        <w:pStyle w:val="standard"/>
        <w:rPr/>
      </w:pPr>
      <w:r>
        <w:rPr/>
        <w:t>Dated July 19,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ERLINDA PULMANO</w:t>
            </w:r>
          </w:p>
        </w:tc>
      </w:tr>
      <w:tr>
        <w:trPr/>
        <w:tc>
          <w:tcPr>
            <w:tcW w:w="3420" w:type="dxa"/>
            <w:tcBorders/>
          </w:tcPr>
          <w:p>
            <w:pPr>
              <w:pStyle w:val="Normal"/>
              <w:jc w:val="center"/>
              <w:rPr/>
            </w:pPr>
            <w:r>
              <w:rPr/>
              <w:t>Erlinda Pulmano</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p>
      <w:pPr>
        <w:pStyle w:val="Normal"/>
        <w:tabs>
          <w:tab w:val="clear" w:pos="720"/>
          <w:tab w:val="left" w:pos="1260" w:leader="none"/>
          <w:tab w:val="left" w:pos="1530" w:leader="none"/>
        </w:tabs>
        <w:rPr>
          <w:sz w:val="24"/>
        </w:rPr>
      </w:pPr>
      <w:r>
        <w:rPr>
          <w:sz w:val="24"/>
        </w:rPr>
      </w:r>
    </w:p>
    <w:p>
      <w:pPr>
        <w:pStyle w:val="Normal"/>
        <w:rPr>
          <w:sz w:val="24"/>
        </w:rPr>
      </w:pPr>
      <w:r>
        <w:rPr>
          <w:sz w:val="24"/>
        </w:rPr>
      </w:r>
    </w:p>
    <w:p>
      <w:pPr>
        <w:pStyle w:val="Normal"/>
        <w:rPr>
          <w:sz w:val="24"/>
        </w:rPr>
      </w:pPr>
      <w:r>
        <w:rPr>
          <w:sz w:val="24"/>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102696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On or about July 16, 2001, CAC submitted for filing an “amended response” in support of IEP’s Petition.  The amended response states that it mislabeled its pleading as a motion, and that it should have been labeled as a response.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JSW/eap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JSW/eap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JSW/eap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lowerLetter"/>
      <w:lvlText w:val="%1."/>
      <w:lvlJc w:val="start"/>
      <w:pPr>
        <w:tabs>
          <w:tab w:val="num" w:pos="0"/>
        </w:tabs>
        <w:ind w:start="0" w:hanging="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2001-07-19T15:51:00Z</dcterms:created>
  <dc:creator>Erlinda A. Pulmano</dc:creator>
  <dc:description/>
  <dc:language>en-CA</dc:language>
  <cp:lastModifiedBy>Erlinda A. Pulmano</cp:lastModifiedBy>
  <cp:lastPrinted>2001-07-19T11:47:00Z</cp:lastPrinted>
  <dcterms:modified xsi:type="dcterms:W3CDTF">2001-07-19T17:30:00Z</dcterms:modified>
  <cp:revision>5</cp:revision>
  <dc:subject/>
  <dc:title>BEFORE THE PUBLIC UTILITIES COMMISSION OF THE STATE OF CALIFORNIA</dc:title>
</cp:coreProperties>
</file>