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4"/>
        </w:rPr>
      </w:r>
      <w:r>
        <w:rPr>
          <w:b/>
        </w:rPr>
        <w:t>PAYMENT DIRECTION LETTER</w:t>
      </w:r>
    </w:p>
    <w:p>
      <w:pPr>
        <w:pStyle w:val="Normal"/>
        <w:widowControl/>
        <w:jc w:val="center"/>
        <w:rPr/>
      </w:pPr>
      <w:r>
        <w:rPr/>
      </w:r>
    </w:p>
    <w:p>
      <w:pPr>
        <w:pStyle w:val="Normal"/>
        <w:widowControl/>
        <w:jc w:val="center"/>
        <w:rPr/>
      </w:pPr>
      <w:r>
        <w:rPr/>
        <w:t xml:space="preserve">December </w:t>
      </w:r>
      <w:r>
        <w:rPr>
          <w:strike/>
          <w:color w:val="FF0000"/>
        </w:rPr>
        <w:t>7</w:t>
      </w:r>
      <w:r>
        <w:rPr/>
        <w:t xml:space="preserve"> </w:t>
      </w:r>
      <w:r>
        <w:rPr>
          <w:b/>
          <w:color w:val="FF0000"/>
          <w:u w:val="double"/>
        </w:rPr>
        <w:t>15</w:t>
      </w:r>
      <w:r>
        <w:rPr/>
        <w:t>, 2000</w:t>
      </w:r>
    </w:p>
    <w:p>
      <w:pPr>
        <w:pStyle w:val="Normal"/>
        <w:widowControl/>
        <w:jc w:val="both"/>
        <w:rPr/>
      </w:pPr>
      <w:r>
        <w:rPr/>
      </w:r>
    </w:p>
    <w:p>
      <w:pPr>
        <w:pStyle w:val="Normal"/>
        <w:widowControl w:val="false"/>
        <w:jc w:val="both"/>
        <w:rPr/>
      </w:pPr>
      <w:r>
        <w:rPr/>
        <w:tab/>
        <w:t>Reference is hereby made to the Facility Agreement dated as of November 20, 2000 among Hawaii II 125-0 Trust, Canadian Imperial Bank of Commerce, as the Agent, and the other financial institutions party thereto (the “Facility Agreement”).   Capitalized terms used and not defined herein have the meanings set forth in the Facility Agreement.</w:t>
      </w:r>
    </w:p>
    <w:p>
      <w:pPr>
        <w:pStyle w:val="Normal"/>
        <w:widowControl w:val="false"/>
        <w:jc w:val="both"/>
        <w:rPr/>
      </w:pPr>
      <w:r>
        <w:rPr/>
      </w:r>
    </w:p>
    <w:p>
      <w:pPr>
        <w:pStyle w:val="Normal"/>
        <w:widowControl w:val="false"/>
        <w:jc w:val="both"/>
        <w:rPr/>
      </w:pPr>
      <w:r>
        <w:rPr/>
        <w:tab/>
        <w:t>In connection with (i) the creation of Series McGarret H of the Hawaii II 125-0 Trust, (ii) the issuance of the related Series McGarret H Certificate and (iii) the making of Advances under the Facility Agreement on the date hereof, Wilmington Trust Company, as Owner Trustee of the Hawaii II 125-0 Trust, will be in receipt of $64,000,000, which shall be deposited into the Series Collection Account for Series McGarret H.</w:t>
      </w:r>
    </w:p>
    <w:p>
      <w:pPr>
        <w:pStyle w:val="Normal"/>
        <w:widowControl w:val="false"/>
        <w:jc w:val="both"/>
        <w:rPr/>
      </w:pPr>
      <w:r>
        <w:rPr/>
      </w:r>
    </w:p>
    <w:p>
      <w:pPr>
        <w:pStyle w:val="Normal"/>
        <w:widowControl w:val="false"/>
        <w:jc w:val="both"/>
        <w:rPr/>
      </w:pPr>
      <w:r>
        <w:rPr/>
        <w:tab/>
        <w:t>The parties to such transaction hereby agree and direct that the funds on deposit in the Collection Account for Series McGarret H be distributed as follows:</w:t>
      </w:r>
    </w:p>
    <w:p>
      <w:pPr>
        <w:pStyle w:val="Normal"/>
        <w:widowControl w:val="false"/>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(i)</w:t>
        <w:tab/>
        <w:t>Wilmington Trust Company, in its capacity as Owner Trustee of the Hawaii II 125-0 Trust, shall distribute the full amount on deposit in the Series Collection Account for Series McGarret H, pursuant to Section 5.04(b) of the Trust Agreement, to Big Island VIII, L.L.C. (the “Transferor”) in payment of the purchase price for the Class B Interest of McGarret VIII, L.L.C. (“Asset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r>
      <w:r>
        <w:rPr>
          <w:u w:val="single"/>
        </w:rPr>
        <w:t>Wire Instructions</w:t>
      </w:r>
      <w:r>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Credit Bank:</w:t>
        <w:tab/>
        <w:t>Citibank N.A. -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ABA:</w:t>
        <w:tab/>
        <w:t xml:space="preserve"> </w:t>
        <w:tab/>
        <w:t>021-000-089</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 xml:space="preserve">Credit to:   </w:t>
        <w:tab/>
        <w:t xml:space="preserve">Big Island </w:t>
      </w:r>
      <w:r>
        <w:rPr>
          <w:strike/>
          <w:color w:val="FF0000"/>
        </w:rPr>
        <w:t>VI</w:t>
      </w:r>
      <w:r>
        <w:rPr/>
        <w:t xml:space="preserve"> </w:t>
      </w:r>
      <w:r>
        <w:rPr>
          <w:b/>
          <w:color w:val="FF0000"/>
          <w:u w:val="double"/>
        </w:rPr>
        <w:t>VIII</w:t>
      </w:r>
      <w:r>
        <w:rPr/>
        <w:t>, L.L.C.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Account No.:</w:t>
        <w:tab/>
      </w:r>
      <w:r>
        <w:rPr>
          <w:strike/>
          <w:color w:val="FF0000"/>
        </w:rPr>
        <w:t>[ ]</w:t>
      </w:r>
      <w:r>
        <w:rPr/>
        <w:t xml:space="preserve"> </w:t>
      </w:r>
      <w:r>
        <w:rPr>
          <w:b/>
          <w:color w:val="FF0000"/>
          <w:u w:val="double"/>
        </w:rPr>
        <w:t>3045-0205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 xml:space="preserve">Reference:  </w:t>
        <w:tab/>
        <w:t>Hawaii II 125-0 Trust</w:t>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Series McGarret H</w:t>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fals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(ii)</w:t>
        <w:tab/>
        <w:t>Upon receipt of such funds, the Transferor shall immediately transfer the full amount of such funds to Asset LLC, in full satisfaction of the Promissory Note executed by Transferor, in favor of Asset LLC, dated the date hereof.</w:t>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0"/>
        <w:jc w:val="both"/>
        <w:rPr/>
      </w:pPr>
      <w:r>
        <w:rPr/>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r>
      <w:r>
        <w:rPr>
          <w:u w:val="single"/>
        </w:rPr>
        <w:t>Wire Instructions</w:t>
      </w:r>
      <w:r>
        <w:rPr/>
        <w:t>:</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Credit Bank:</w:t>
        <w:tab/>
        <w:t>Citibank N.A. - New York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ABA:</w:t>
        <w:tab/>
        <w:t xml:space="preserve"> </w:t>
        <w:tab/>
        <w:t>021-000-089</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 xml:space="preserve">Credit to:   </w:t>
        <w:tab/>
        <w:t>McGarret VIII, L.L.C.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Account No.:</w:t>
        <w:tab/>
      </w:r>
      <w:r>
        <w:rPr>
          <w:strike/>
          <w:color w:val="FF0000"/>
        </w:rPr>
        <w:t>[ ]</w:t>
      </w:r>
      <w:r>
        <w:rPr/>
        <w:t xml:space="preserve"> </w:t>
      </w:r>
      <w:r>
        <w:rPr>
          <w:b/>
          <w:color w:val="FF0000"/>
          <w:u w:val="double"/>
        </w:rPr>
        <w:t>3045-0213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 xml:space="preserve">Reference:  </w:t>
        <w:tab/>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Series McGarret H</w:t>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699"/>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fals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(iii)</w:t>
        <w:tab/>
        <w:t>Finally, upon receipt of such funds, Asset LLC shall immediately transfer the full amount to its Class A Member, as a special distribution, pursuant to Section 5.03 of the Asset LLC Agreement, dated the date hereof.</w:t>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0"/>
        <w:jc w:val="both"/>
        <w:rPr/>
      </w:pPr>
      <w:r>
        <w:rPr/>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r>
      <w:r>
        <w:rPr>
          <w:u w:val="single"/>
        </w:rPr>
        <w:t>Wire Instructions</w:t>
      </w:r>
      <w:r>
        <w:rPr/>
        <w:t>:</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Credit Bank:</w:t>
        <w:tab/>
        <w:t>Citibank N.A. - New York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ABA:</w:t>
        <w:tab/>
        <w:t xml:space="preserve"> </w:t>
        <w:tab/>
        <w:t>021-000-089</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 xml:space="preserve">Credit to:   </w:t>
        <w:tab/>
        <w:t>Enron Corp.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Account No.:</w:t>
        <w:tab/>
      </w:r>
      <w:r>
        <w:rPr>
          <w:strike/>
          <w:color w:val="FF0000"/>
        </w:rPr>
        <w:t>[ ]</w:t>
      </w:r>
      <w:r>
        <w:rPr/>
        <w:t xml:space="preserve"> </w:t>
      </w:r>
      <w:r>
        <w:rPr>
          <w:b/>
          <w:color w:val="FF0000"/>
          <w:u w:val="double"/>
        </w:rPr>
        <w:t>0007-6486</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 xml:space="preserve">Reference:  </w:t>
        <w:tab/>
        <w:t>Hawaii II 125-0 Trust</w:t>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 xml:space="preserve">Series McGarret H, </w:t>
      </w:r>
    </w:p>
    <w:p>
      <w:pPr>
        <w:pStyle w:val="Normal"/>
        <w:keepLines/>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2880" w:end="0"/>
        <w:jc w:val="both"/>
        <w:rPr/>
      </w:pPr>
      <w:r>
        <w:rPr/>
        <w:t>on behalf of Enron Broadband Services, Inc.</w:t>
      </w:r>
    </w:p>
    <w:p>
      <w:pPr>
        <w:sectPr>
          <w:type w:val="continuous"/>
          <w:pgSz w:w="12240" w:h="15840"/>
          <w:pgMar w:left="1440" w:right="1440" w:gutter="0" w:header="1440" w:top="1496" w:footer="1440" w:bottom="1699"/>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0"/>
        <w:jc w:val="both"/>
        <w:rPr/>
      </w:pPr>
      <w:r>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2680"/>
          <w:pgNumType w:fmt="decimal"/>
          <w:formProt w:val="false"/>
          <w:textDirection w:val="lrTb"/>
          <w:docGrid w:type="default" w:linePitch="360" w:charSpace="0"/>
        </w:sectPr>
      </w:pP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ind w:hanging="2880" w:start="4320" w:end="0"/>
        <w:jc w:val="both"/>
        <w:rPr/>
      </w:pPr>
      <w:r>
        <w:rPr/>
        <w:tab/>
        <w:t>CIBC Inc., as the Beneficial Owner, and the  Series Certificate Holder of Series McGarret 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right" w:pos="9356" w:leader="none"/>
        </w:tabs>
        <w:rPr/>
      </w:pPr>
      <w:r>
        <w:rPr/>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right" w:pos="9356" w:leader="none"/>
        </w:tabs>
        <w:rPr/>
      </w:pPr>
      <w:r>
        <w:rPr/>
        <w:tab/>
        <w:tab/>
        <w:tab/>
        <w:tab/>
        <w:tab/>
        <w:tab/>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right" w:pos="9356" w:leader="none"/>
        </w:tabs>
        <w:rPr/>
      </w:pPr>
      <w:r>
        <w:rPr/>
        <w:tab/>
        <w:tab/>
        <w:tab/>
        <w:tab/>
        <w:tab/>
        <w:tab/>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type w:val="continuous"/>
          <w:pgSz w:w="12240" w:h="15840"/>
          <w:pgMar w:left="1440" w:right="1440" w:gutter="0" w:header="1440" w:top="1496" w:footer="1440" w:bottom="268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220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r>
      <w:r>
        <w:rPr>
          <w:b/>
        </w:rPr>
        <w:t>BIG ISLAND VIII, L.L.C.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rPr>
        <w:tab/>
        <w:tab/>
        <w:tab/>
        <w:tab/>
        <w:tab/>
        <w:tab/>
      </w:r>
      <w:r>
        <w:rPr/>
        <w:t>By:</w:t>
        <w:tab/>
        <w:t>Enron Broadband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its Sole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56"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56" w:leader="none"/>
        </w:tabs>
        <w:rPr/>
      </w:pPr>
      <w:r>
        <w:rPr/>
        <w:tab/>
        <w:tab/>
        <w:tab/>
        <w:tab/>
        <w:tab/>
        <w:tab/>
        <w:tab/>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56" w:leader="none"/>
        </w:tabs>
        <w:rPr/>
      </w:pPr>
      <w:r>
        <w:rPr/>
        <w:tab/>
        <w:tab/>
        <w:tab/>
        <w:tab/>
        <w:tab/>
        <w:tab/>
        <w:tab/>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r>
      <w:r>
        <w:rPr>
          <w:b/>
        </w:rPr>
        <w:t>McGARRET VIII, L.L.C.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rPr>
        <w:tab/>
        <w:tab/>
        <w:tab/>
        <w:tab/>
        <w:tab/>
        <w:tab/>
      </w:r>
      <w:r>
        <w:rPr/>
        <w:t>By:</w:t>
        <w:tab/>
        <w:t>Enron Broadband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56"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56" w:leader="none"/>
        </w:tabs>
        <w:rPr/>
      </w:pPr>
      <w:r>
        <w:rPr/>
        <w:tab/>
        <w:tab/>
        <w:tab/>
        <w:tab/>
        <w:tab/>
        <w:tab/>
        <w:tab/>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56" w:leader="none"/>
        </w:tabs>
        <w:rPr/>
      </w:pPr>
      <w:r>
        <w:rPr/>
        <w:tab/>
        <w:tab/>
        <w:tab/>
        <w:tab/>
        <w:tab/>
        <w:tab/>
        <w:tab/>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type w:val="continuous"/>
          <w:pgSz w:w="12240" w:h="15840"/>
          <w:pgMar w:left="1440" w:right="1440" w:gutter="0" w:header="1440" w:top="1496" w:footer="1440" w:bottom="220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1440" w:bottom="220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original document   : C:\DOCUME~1\MOORCH\LOCALS~1\TEMP\DAL_272972_1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and revised document: C:\DOCUME~1\MOORCH\LOCALS~1\TEMP\DAL_272972_2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CompareRite found    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rPr/>
      </w:pPr>
      <w:r>
        <w:rPr/>
        <w:t xml:space="preserve">Additions appear as Bold+Dbl Underline text </w:t>
      </w:r>
    </w:p>
    <w:sectPr>
      <w:type w:val="continuous"/>
      <w:pgSz w:w="12240" w:h="15840"/>
      <w:pgMar w:left="1440" w:right="1440" w:gutter="0" w:header="1440" w:top="1496" w:footer="1440" w:bottom="220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4"/>
      </w:rPr>
    </w:pPr>
    <w:r>
      <w:rPr>
        <w:sz w:val="14"/>
      </w:rPr>
      <w:t>DAL:272972.2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4"/>
      </w:rPr>
    </w:pPr>
    <w:r>
      <w:rPr>
        <w:sz w:val="14"/>
      </w:rPr>
      <w:t>DAL:272972.2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rPr>
    </w:pPr>
    <w:r>
      <w:rPr>
        <w:sz w:val="20"/>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277495"/>
              <wp:effectExtent l="0" t="0" r="0" b="0"/>
              <wp:wrapTopAndBottom/>
              <wp:docPr id="5" name="Frame6"/>
              <a:graphic xmlns:a="http://schemas.openxmlformats.org/drawingml/2006/main">
                <a:graphicData uri="http://schemas.microsoft.com/office/word/2010/wordprocessingShape">
                  <wps:wsp>
                    <wps:cNvSpPr txBox="1"/>
                    <wps:spPr>
                      <a:xfrm>
                        <a:off x="0" y="0"/>
                        <a:ext cx="5943600" cy="277495"/>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both"/>
                            <w:rPr>
                              <w:vanish/>
                              <w:sz w:val="20"/>
                            </w:rPr>
                          </w:pPr>
                          <w:r>
                            <w:rPr>
                              <w:sz w:val="14"/>
                            </w:rPr>
                            <w:t>DAL:272123.1</w:t>
                          </w:r>
                        </w:p>
                      </w:txbxContent>
                    </wps:txbx>
                    <wps:bodyPr anchor="t" lIns="0" tIns="0" rIns="0" bIns="0">
                      <a:noAutofit/>
                    </wps:bodyPr>
                  </wps:wsp>
                </a:graphicData>
              </a:graphic>
            </wp:anchor>
          </w:drawing>
        </mc:Choice>
        <mc:Fallback>
          <w:pict>
            <v:rect fillcolor="#FFFFFF" style="position:absolute;rotation:-0;width:468pt;height:21.85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both"/>
                      <w:rPr>
                        <w:vanish/>
                        <w:sz w:val="20"/>
                      </w:rPr>
                    </w:pPr>
                    <w:r>
                      <w:rPr>
                        <w:sz w:val="14"/>
                      </w:rPr>
                      <w:t>DAL:272123.1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rPr>
    </w:pPr>
    <w:r>
      <w:rPr>
        <w:sz w:val="20"/>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20955"/>
              <wp:effectExtent l="0" t="0" r="0" b="0"/>
              <wp:wrapTopAndBottom/>
              <wp:docPr id="6" name="Frame5"/>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both"/>
                            <w:rPr>
                              <w:vanish/>
                              <w:sz w:val="20"/>
                            </w:rPr>
                          </w:pPr>
                          <w:r>
                            <w:rPr>
                              <w:sz w:val="14"/>
                            </w:rPr>
                            <w:t>DAL:272123.1</w:t>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0" w:before="0" w:after="0"/>
                      <w:jc w:val="both"/>
                      <w:rPr>
                        <w:vanish/>
                        <w:sz w:val="20"/>
                      </w:rPr>
                    </w:pPr>
                    <w:r>
                      <w:rPr>
                        <w:sz w:val="14"/>
                      </w:rPr>
                      <w:t>DAL:272123.1</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26">
    <w:name w:val="_26"/>
    <w:basedOn w:val="Normal"/>
    <w:qFormat/>
    <w:pPr>
      <w:widowControl w:val="false"/>
    </w:pPr>
    <w:rPr/>
  </w:style>
  <w:style w:type="paragraph" w:styleId="25">
    <w:name w:val="_25"/>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pPr>
    <w:rPr/>
  </w:style>
  <w:style w:type="paragraph" w:styleId="24">
    <w:name w:val="_24"/>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pPr>
    <w:rPr/>
  </w:style>
  <w:style w:type="paragraph" w:styleId="23">
    <w:name w:val="_23"/>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880" w:end="0"/>
    </w:pPr>
    <w:rPr/>
  </w:style>
  <w:style w:type="paragraph" w:styleId="22">
    <w:name w:val="_22"/>
    <w:basedOn w:val="Normal"/>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600" w:end="0"/>
    </w:pPr>
    <w:rPr/>
  </w:style>
  <w:style w:type="paragraph" w:styleId="21">
    <w:name w:val="_21"/>
    <w:basedOn w:val="Normal"/>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ind w:hanging="720" w:start="4320" w:end="0"/>
    </w:pPr>
    <w:rPr/>
  </w:style>
  <w:style w:type="paragraph" w:styleId="20">
    <w:name w:val="_20"/>
    <w:basedOn w:val="Normal"/>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ind w:hanging="720" w:start="5040" w:end="0"/>
    </w:pPr>
    <w:rPr/>
  </w:style>
  <w:style w:type="paragraph" w:styleId="19">
    <w:name w:val="_19"/>
    <w:basedOn w:val="Normal"/>
    <w:qFormat/>
    <w:pPr>
      <w:widowControl w:val="false"/>
      <w:tabs>
        <w:tab w:val="clear" w:pos="720"/>
        <w:tab w:val="left" w:pos="5760" w:leader="none"/>
        <w:tab w:val="left" w:pos="6480" w:leader="none"/>
        <w:tab w:val="left" w:pos="7200" w:leader="none"/>
        <w:tab w:val="left" w:pos="7920" w:leader="none"/>
        <w:tab w:val="left" w:pos="8640" w:leader="none"/>
      </w:tabs>
      <w:ind w:hanging="720" w:start="5760" w:end="0"/>
    </w:pPr>
    <w:rPr/>
  </w:style>
  <w:style w:type="paragraph" w:styleId="18">
    <w:name w:val="_18"/>
    <w:basedOn w:val="Normal"/>
    <w:qFormat/>
    <w:pPr>
      <w:widowControl w:val="false"/>
      <w:tabs>
        <w:tab w:val="clear" w:pos="720"/>
        <w:tab w:val="left" w:pos="6480" w:leader="none"/>
        <w:tab w:val="left" w:pos="7200" w:leader="none"/>
        <w:tab w:val="left" w:pos="7920" w:leader="none"/>
        <w:tab w:val="left" w:pos="8640" w:leader="none"/>
      </w:tabs>
      <w:ind w:hanging="720" w:start="6480" w:end="0"/>
    </w:pPr>
    <w:rPr/>
  </w:style>
  <w:style w:type="paragraph" w:styleId="17">
    <w:name w:val="_17"/>
    <w:basedOn w:val="Normal"/>
    <w:qFormat/>
    <w:pPr>
      <w:widowControl w:val="false"/>
    </w:pPr>
    <w:rPr/>
  </w:style>
  <w:style w:type="paragraph" w:styleId="16">
    <w:name w:val="_16"/>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pPr>
    <w:rPr/>
  </w:style>
  <w:style w:type="paragraph" w:styleId="15">
    <w:name w:val="_15"/>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pPr>
    <w:rPr/>
  </w:style>
  <w:style w:type="paragraph" w:styleId="14">
    <w:name w:val="_14"/>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880" w:end="0"/>
    </w:pPr>
    <w:rPr/>
  </w:style>
  <w:style w:type="paragraph" w:styleId="13">
    <w:name w:val="_13"/>
    <w:basedOn w:val="Normal"/>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600" w:end="0"/>
    </w:pPr>
    <w:rPr/>
  </w:style>
  <w:style w:type="paragraph" w:styleId="12">
    <w:name w:val="_12"/>
    <w:basedOn w:val="Normal"/>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ind w:hanging="720" w:start="4320" w:end="0"/>
    </w:pPr>
    <w:rPr/>
  </w:style>
  <w:style w:type="paragraph" w:styleId="11">
    <w:name w:val="_11"/>
    <w:basedOn w:val="Normal"/>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ind w:hanging="720" w:start="5040" w:end="0"/>
    </w:pPr>
    <w:rPr/>
  </w:style>
  <w:style w:type="paragraph" w:styleId="10">
    <w:name w:val="_10"/>
    <w:basedOn w:val="Normal"/>
    <w:qFormat/>
    <w:pPr>
      <w:widowControl w:val="false"/>
      <w:tabs>
        <w:tab w:val="clear" w:pos="720"/>
        <w:tab w:val="left" w:pos="5760" w:leader="none"/>
        <w:tab w:val="left" w:pos="6480" w:leader="none"/>
        <w:tab w:val="left" w:pos="7200" w:leader="none"/>
        <w:tab w:val="left" w:pos="7920" w:leader="none"/>
        <w:tab w:val="left" w:pos="8640" w:leader="none"/>
      </w:tabs>
      <w:ind w:hanging="720" w:start="5760" w:end="0"/>
    </w:pPr>
    <w:rPr/>
  </w:style>
  <w:style w:type="paragraph" w:styleId="9">
    <w:name w:val="_9"/>
    <w:basedOn w:val="Normal"/>
    <w:qFormat/>
    <w:pPr>
      <w:widowControl w:val="false"/>
      <w:tabs>
        <w:tab w:val="clear" w:pos="720"/>
        <w:tab w:val="left" w:pos="6480" w:leader="none"/>
        <w:tab w:val="left" w:pos="7200" w:leader="none"/>
        <w:tab w:val="left" w:pos="7920" w:leader="none"/>
        <w:tab w:val="left" w:pos="8640" w:leader="none"/>
      </w:tabs>
      <w:ind w:hanging="720" w:start="6480" w:end="0"/>
    </w:pPr>
    <w:rPr/>
  </w:style>
  <w:style w:type="paragraph" w:styleId="8">
    <w:name w:val="_8"/>
    <w:basedOn w:val="Normal"/>
    <w:qFormat/>
    <w:pPr>
      <w:widowControl w:val="false"/>
    </w:pPr>
    <w:rPr/>
  </w:style>
  <w:style w:type="paragraph" w:styleId="7">
    <w:name w:val="_7"/>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pPr>
    <w:rPr/>
  </w:style>
  <w:style w:type="paragraph" w:styleId="6">
    <w:name w:val="_6"/>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pPr>
    <w:rPr/>
  </w:style>
  <w:style w:type="paragraph" w:styleId="5">
    <w:name w:val="_5"/>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880" w:end="0"/>
    </w:pPr>
    <w:rPr/>
  </w:style>
  <w:style w:type="paragraph" w:styleId="4">
    <w:name w:val="_4"/>
    <w:basedOn w:val="Normal"/>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600" w:end="0"/>
    </w:pPr>
    <w:rPr/>
  </w:style>
  <w:style w:type="paragraph" w:styleId="3">
    <w:name w:val="_3"/>
    <w:basedOn w:val="Normal"/>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ind w:hanging="720" w:start="4320" w:end="0"/>
    </w:pPr>
    <w:rPr/>
  </w:style>
  <w:style w:type="paragraph" w:styleId="2">
    <w:name w:val="_2"/>
    <w:basedOn w:val="Normal"/>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ind w:hanging="720" w:start="5040" w:end="0"/>
    </w:pPr>
    <w:rPr/>
  </w:style>
  <w:style w:type="paragraph" w:styleId="1">
    <w:name w:val="_1"/>
    <w:basedOn w:val="Normal"/>
    <w:qFormat/>
    <w:pPr>
      <w:widowControl w:val="false"/>
      <w:tabs>
        <w:tab w:val="clear" w:pos="720"/>
        <w:tab w:val="left" w:pos="5760" w:leader="none"/>
        <w:tab w:val="left" w:pos="6480" w:leader="none"/>
        <w:tab w:val="left" w:pos="7200" w:leader="none"/>
        <w:tab w:val="left" w:pos="7920" w:leader="none"/>
        <w:tab w:val="left" w:pos="8640" w:leader="none"/>
      </w:tabs>
      <w:ind w:hanging="720" w:start="5760" w:end="0"/>
    </w:pPr>
    <w:rPr/>
  </w:style>
  <w:style w:type="paragraph" w:styleId="Style14">
    <w:name w:val="_"/>
    <w:basedOn w:val="Normal"/>
    <w:qFormat/>
    <w:pPr>
      <w:widowControl w:val="false"/>
      <w:tabs>
        <w:tab w:val="clear" w:pos="720"/>
        <w:tab w:val="left" w:pos="6480" w:leader="none"/>
        <w:tab w:val="left" w:pos="7200" w:leader="none"/>
        <w:tab w:val="left" w:pos="7920" w:leader="none"/>
        <w:tab w:val="left" w:pos="8640" w:leader="none"/>
      </w:tabs>
      <w:ind w:hanging="720" w:start="6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