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REIMBURSEMENT AGREEMENT</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ab/>
      </w:r>
      <w:r>
        <w:rPr>
          <w:rFonts w:cs="Times New Roman" w:ascii="Times New Roman" w:hAnsi="Times New Roman"/>
          <w:b/>
        </w:rPr>
        <w:t>THIS REIMBURSEMENT AGREEMENT</w:t>
      </w:r>
      <w:r>
        <w:rPr>
          <w:rFonts w:cs="Times New Roman" w:ascii="Times New Roman" w:hAnsi="Times New Roman"/>
        </w:rPr>
        <w:t xml:space="preserve"> is dated as of this 1st day of September, 2000 (“</w:t>
      </w:r>
      <w:r>
        <w:rPr>
          <w:rFonts w:cs="Times New Roman" w:ascii="Times New Roman" w:hAnsi="Times New Roman"/>
          <w:u w:val="single"/>
        </w:rPr>
        <w:t>Agreement</w:t>
      </w:r>
      <w:r>
        <w:rPr>
          <w:rFonts w:cs="Times New Roman" w:ascii="Times New Roman" w:hAnsi="Times New Roman"/>
        </w:rPr>
        <w:t xml:space="preserve">”) by and between </w:t>
      </w:r>
      <w:r>
        <w:rPr>
          <w:rFonts w:cs="Times New Roman" w:ascii="Times New Roman" w:hAnsi="Times New Roman"/>
          <w:b/>
        </w:rPr>
        <w:t>ENRON CORP.</w:t>
      </w:r>
      <w:r>
        <w:rPr>
          <w:rFonts w:cs="Times New Roman" w:ascii="Times New Roman" w:hAnsi="Times New Roman"/>
        </w:rPr>
        <w:t>, an Oregon corporation (“</w:t>
      </w:r>
      <w:r>
        <w:rPr>
          <w:rFonts w:cs="Times New Roman" w:ascii="Times New Roman" w:hAnsi="Times New Roman"/>
          <w:u w:val="single"/>
        </w:rPr>
        <w:t>Enron</w:t>
      </w:r>
      <w:r>
        <w:rPr>
          <w:rFonts w:cs="Times New Roman" w:ascii="Times New Roman" w:hAnsi="Times New Roman"/>
        </w:rPr>
        <w:t xml:space="preserve">”) and </w:t>
      </w:r>
      <w:r>
        <w:rPr>
          <w:rFonts w:cs="Times New Roman" w:ascii="Times New Roman" w:hAnsi="Times New Roman"/>
          <w:b/>
        </w:rPr>
        <w:t>PEOPLES ENERGY CORPORATION</w:t>
      </w:r>
      <w:r>
        <w:rPr>
          <w:rFonts w:cs="Times New Roman" w:ascii="Times New Roman" w:hAnsi="Times New Roman"/>
        </w:rPr>
        <w:t>, an Illinois corporation (“</w:t>
      </w:r>
      <w:r>
        <w:rPr>
          <w:rFonts w:cs="Times New Roman" w:ascii="Times New Roman" w:hAnsi="Times New Roman"/>
          <w:u w:val="single"/>
        </w:rPr>
        <w:t>Peoples</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PRELIMINARY STATEMENT</w:t>
      </w:r>
    </w:p>
    <w:p>
      <w:pPr>
        <w:pStyle w:val="Normal"/>
        <w:rPr>
          <w:rFonts w:ascii="Times New Roman" w:hAnsi="Times New Roman" w:cs="Times New Roman"/>
        </w:rPr>
      </w:pPr>
      <w:r>
        <w:rPr>
          <w:rFonts w:cs="Times New Roman" w:ascii="Times New Roman" w:hAnsi="Times New Roman"/>
        </w:rPr>
      </w:r>
    </w:p>
    <w:p>
      <w:pPr>
        <w:pStyle w:val="Normal"/>
        <w:ind w:firstLine="1440" w:end="0"/>
        <w:jc w:val="both"/>
        <w:rPr/>
      </w:pPr>
      <w:r>
        <w:rPr>
          <w:rFonts w:cs="Times New Roman" w:ascii="Times New Roman" w:hAnsi="Times New Roman"/>
        </w:rPr>
        <w:t>A.</w:t>
        <w:tab/>
        <w:t>Enron MW, LLC, (“</w:t>
      </w:r>
      <w:r>
        <w:rPr>
          <w:rFonts w:cs="Times New Roman" w:ascii="Times New Roman" w:hAnsi="Times New Roman"/>
          <w:u w:val="single"/>
        </w:rPr>
        <w:t>Enron MW</w:t>
      </w:r>
      <w:r>
        <w:rPr>
          <w:rFonts w:cs="Times New Roman" w:ascii="Times New Roman" w:hAnsi="Times New Roman"/>
        </w:rPr>
        <w:t>”) a Delaware limited liability company and a wholly-owned subsidiary of Enron North America Corp. (a wholly-owned subsidiary of Enron), and Peoples MW, LLC, a Delaware limited liability company and a wholly-owned subsidiary of Peoples (“</w:t>
      </w:r>
      <w:r>
        <w:rPr>
          <w:rFonts w:cs="Times New Roman" w:ascii="Times New Roman" w:hAnsi="Times New Roman"/>
          <w:u w:val="single"/>
        </w:rPr>
        <w:t>Peoples MW</w:t>
      </w:r>
      <w:r>
        <w:rPr>
          <w:rFonts w:cs="Times New Roman" w:ascii="Times New Roman" w:hAnsi="Times New Roman"/>
        </w:rPr>
        <w:t>”), entered into a Limited Liability Company Agreement of Midwest Energy Hub, L.L.C. dated as of April 26, 2000 pursuant to which Enron MW and Peoples MW formed Midwest Energy Hub, L.L.C.</w:t>
      </w:r>
      <w:r>
        <w:rPr>
          <w:rFonts w:cs="Times New Roman" w:ascii="Times New Roman" w:hAnsi="Times New Roman"/>
          <w:b/>
        </w:rPr>
        <w:t xml:space="preserve"> </w:t>
      </w:r>
      <w:r>
        <w:rPr>
          <w:rFonts w:cs="Times New Roman" w:ascii="Times New Roman" w:hAnsi="Times New Roman"/>
        </w:rPr>
        <w:t>(the “</w:t>
      </w:r>
      <w:r>
        <w:rPr>
          <w:rFonts w:cs="Times New Roman" w:ascii="Times New Roman" w:hAnsi="Times New Roman"/>
          <w:u w:val="single"/>
        </w:rPr>
        <w:t>Company</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1440" w:start="0" w:end="0"/>
        <w:jc w:val="both"/>
        <w:rPr>
          <w:rFonts w:ascii="Times New Roman" w:hAnsi="Times New Roman" w:cs="Times New Roman"/>
        </w:rPr>
      </w:pPr>
      <w:r>
        <w:rPr>
          <w:rFonts w:cs="Times New Roman" w:ascii="Times New Roman" w:hAnsi="Times New Roman"/>
        </w:rPr>
        <w:t>Company entered into that certain Base Contract For Short-Term Sale and Purchase of Natural Gas between Company and Alliance Pipeline L.P. (“</w:t>
      </w:r>
      <w:r>
        <w:rPr>
          <w:rFonts w:cs="Times New Roman" w:ascii="Times New Roman" w:hAnsi="Times New Roman"/>
          <w:u w:val="single"/>
        </w:rPr>
        <w:t>Alliance</w:t>
      </w:r>
      <w:r>
        <w:rPr>
          <w:rFonts w:cs="Times New Roman" w:ascii="Times New Roman" w:hAnsi="Times New Roman"/>
        </w:rPr>
        <w:t>”), as amended from time to time, dated September 1, 2000 (the “</w:t>
      </w:r>
      <w:r>
        <w:rPr>
          <w:rFonts w:cs="Times New Roman" w:ascii="Times New Roman" w:hAnsi="Times New Roman"/>
          <w:u w:val="single"/>
        </w:rPr>
        <w:t>Gas Purchase and Sale Agreement</w:t>
      </w:r>
      <w:r>
        <w:rPr>
          <w:rFonts w:cs="Times New Roman" w:ascii="Times New Roman" w:hAnsi="Times New Roman"/>
        </w:rPr>
        <w:t xml:space="preserve">”) and attached hereto as </w:t>
      </w:r>
      <w:r>
        <w:rPr>
          <w:rFonts w:cs="Times New Roman" w:ascii="Times New Roman" w:hAnsi="Times New Roman"/>
          <w:u w:val="single"/>
        </w:rPr>
        <w:t>Exhibit</w:t>
      </w:r>
      <w:r>
        <w:rPr>
          <w:rFonts w:cs="Times New Roman" w:ascii="Times New Roman" w:hAnsi="Times New Roman"/>
        </w:rPr>
        <w:t xml:space="preserve"> </w:t>
      </w:r>
      <w:r>
        <w:rPr>
          <w:rFonts w:cs="Times New Roman" w:ascii="Times New Roman" w:hAnsi="Times New Roman"/>
          <w:u w:val="single"/>
        </w:rPr>
        <w:t>A</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1440" w:start="0" w:end="0"/>
        <w:jc w:val="both"/>
        <w:rPr>
          <w:rFonts w:ascii="Times New Roman" w:hAnsi="Times New Roman" w:cs="Times New Roman"/>
        </w:rPr>
      </w:pPr>
      <w:r>
        <w:rPr>
          <w:rFonts w:cs="Times New Roman" w:ascii="Times New Roman" w:hAnsi="Times New Roman"/>
        </w:rPr>
        <w:t>Enron, in order to induce Alliance to enter into the Gas Purchase and Sale Agreement with Company, entered into that certain guaranty dated as of September 1, 2000 in favor of Alliance (the “</w:t>
      </w:r>
      <w:r>
        <w:rPr>
          <w:rFonts w:cs="Times New Roman" w:ascii="Times New Roman" w:hAnsi="Times New Roman"/>
          <w:u w:val="single"/>
        </w:rPr>
        <w:t>Guaranty</w:t>
      </w:r>
      <w:r>
        <w:rPr>
          <w:rFonts w:cs="Times New Roman" w:ascii="Times New Roman" w:hAnsi="Times New Roman"/>
        </w:rPr>
        <w:t xml:space="preserve">”), and attached hereto as </w:t>
      </w:r>
      <w:r>
        <w:rPr>
          <w:rFonts w:cs="Times New Roman" w:ascii="Times New Roman" w:hAnsi="Times New Roman"/>
          <w:u w:val="single"/>
        </w:rPr>
        <w:t>Exhibit</w:t>
      </w:r>
      <w:r>
        <w:rPr>
          <w:rFonts w:cs="Times New Roman" w:ascii="Times New Roman" w:hAnsi="Times New Roman"/>
        </w:rPr>
        <w:t xml:space="preserve"> </w:t>
      </w:r>
      <w:r>
        <w:rPr>
          <w:rFonts w:cs="Times New Roman" w:ascii="Times New Roman" w:hAnsi="Times New Roman"/>
          <w:u w:val="single"/>
        </w:rPr>
        <w:t>B</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1440" w:start="0" w:end="0"/>
        <w:jc w:val="both"/>
        <w:rPr>
          <w:rFonts w:ascii="Times New Roman" w:hAnsi="Times New Roman" w:cs="Times New Roman"/>
        </w:rPr>
      </w:pPr>
      <w:r>
        <w:rPr>
          <w:rFonts w:cs="Times New Roman" w:ascii="Times New Roman" w:hAnsi="Times New Roman"/>
        </w:rPr>
        <w:t>Peoples, in order to induce Enron to enter into the Guaranty, agreed to reimburse Enron for an undivided fifty percent (50%) of any payments made by Enron to Alliance under the Guaranty (the “</w:t>
      </w:r>
      <w:r>
        <w:rPr>
          <w:rFonts w:cs="Times New Roman" w:ascii="Times New Roman" w:hAnsi="Times New Roman"/>
          <w:u w:val="single"/>
        </w:rPr>
        <w:t>Guaranty Payments</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ind w:firstLine="720" w:end="0"/>
        <w:rPr>
          <w:rFonts w:ascii="Times New Roman" w:hAnsi="Times New Roman" w:cs="Times New Roman"/>
        </w:rPr>
      </w:pPr>
      <w:r>
        <w:rPr>
          <w:rFonts w:cs="Times New Roman" w:ascii="Times New Roman" w:hAnsi="Times New Roman"/>
        </w:rPr>
        <w:t>NOW, THEREFORE, in consideration of the mutual covenants contained herein, and other good and valuable consideration the receipt and sufficiency of which is hereby acknowledged, Enron and Peoples agree as follows:</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AGREEMENT</w:t>
      </w:r>
    </w:p>
    <w:p>
      <w:pPr>
        <w:pStyle w:val="Normal"/>
        <w:rPr>
          <w:rFonts w:ascii="Times New Roman" w:hAnsi="Times New Roman" w:cs="Times New Roman"/>
        </w:rPr>
      </w:pPr>
      <w:r>
        <w:rPr>
          <w:rFonts w:cs="Times New Roman" w:ascii="Times New Roman" w:hAnsi="Times New Roman"/>
        </w:rPr>
      </w:r>
    </w:p>
    <w:p>
      <w:pPr>
        <w:pStyle w:val="Normal"/>
        <w:ind w:firstLine="1440" w:end="0"/>
        <w:jc w:val="both"/>
        <w:rPr>
          <w:rFonts w:ascii="Times New Roman" w:hAnsi="Times New Roman" w:cs="Times New Roman"/>
        </w:rPr>
      </w:pPr>
      <w:r>
        <w:rPr>
          <w:rFonts w:cs="Times New Roman" w:ascii="Times New Roman" w:hAnsi="Times New Roman"/>
        </w:rPr>
        <w:t>1.</w:t>
        <w:tab/>
        <w:t>In consideration of the benefit to the Company of any Guaranty Payments, Peoples agrees to reimburse Enron for an undivided fifty percent of the Guaranty Payments made by Enron in accordance with the terms and conditions set forth herein.  Peoples shall make such reimburse within ten (10) business days of a notice from Enron that Enron has made any Guaranty Payments.</w:t>
      </w:r>
    </w:p>
    <w:p>
      <w:pPr>
        <w:pStyle w:val="Normal"/>
        <w:ind w:firstLine="1440" w:end="0"/>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2.</w:t>
        <w:tab/>
        <w:t>The obligations of Peoples shall be absolute and unconditional and shall remain in full force and effect until such time as Enron’s obligations under the Guaranty expire or are otherwise terminated as provided by the Guaranty.</w:t>
      </w:r>
    </w:p>
    <w:p>
      <w:pPr>
        <w:pStyle w:val="Header"/>
        <w:tabs>
          <w:tab w:val="clear" w:pos="4320"/>
          <w:tab w:val="clear" w:pos="8640"/>
        </w:tabs>
        <w:rPr>
          <w:rFonts w:eastAsia="Arial"/>
        </w:rPr>
      </w:pPr>
      <w:r>
        <w:rPr>
          <w:rFonts w:eastAsia="Arial"/>
        </w:rPr>
        <w:t xml:space="preserve"> </w:t>
      </w:r>
    </w:p>
    <w:p>
      <w:pPr>
        <w:pStyle w:val="BodyTextIndent3"/>
        <w:rPr/>
      </w:pPr>
      <w:r>
        <w:rPr/>
        <w:t>3.</w:t>
        <w:tab/>
        <w:t>No amendment or waiver of any provision of this Agreement shall be effective unless the same shall be in writing and signed by the parties hereto, and then such waiver or consent shall be effective only in the specific instance and for the specific purpose for which given.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4.</w:t>
        <w:tab/>
        <w:t>The rights and remedies under this Agreement shall be cumulative and not exclusive of any rights or remedies that the parties hereto would otherwise have, and no failure or delay by any party hereto in exercising any right shall operate as a waiver of it, nor shall any single or partial exercise of any power or right preclude its other or further exercise or the exercise of any other power or right.</w:t>
      </w:r>
    </w:p>
    <w:p>
      <w:pPr>
        <w:pStyle w:val="Normal"/>
        <w:rPr>
          <w:rFonts w:ascii="Times New Roman" w:hAnsi="Times New Roman" w:cs="Times New Roman"/>
        </w:rPr>
      </w:pPr>
      <w:r>
        <w:rPr>
          <w:rFonts w:cs="Times New Roman" w:ascii="Times New Roman" w:hAnsi="Times New Roman"/>
        </w:rPr>
      </w:r>
    </w:p>
    <w:p>
      <w:pPr>
        <w:pStyle w:val="BodyTextIndent3"/>
        <w:rPr/>
      </w:pPr>
      <w:r>
        <w:rPr/>
        <w:t>5.</w:t>
        <w:tab/>
        <w:t>This Agreement is a continuing obligation and shall be binding upon Peoples its successors and assigns.</w:t>
      </w:r>
    </w:p>
    <w:p>
      <w:pPr>
        <w:pStyle w:val="BodyTextIndent3"/>
        <w:rPr/>
      </w:pPr>
      <w:r>
        <w:rPr/>
      </w:r>
    </w:p>
    <w:p>
      <w:pPr>
        <w:pStyle w:val="BodyTextIndent3"/>
        <w:rPr/>
      </w:pPr>
      <w:r>
        <w:rPr/>
        <w:t>6.</w:t>
        <w:tab/>
        <w:t>To the extent that Peoples makes a payment or payments to Enron hereunder, which payment or payments, or any part thereof, is subsequently invalidated, declared to be fraudulent or preferential, set aside and/or required to be repaid to any person or party under any bankruptcy or insolvency law, state or federal law, common law or equitable cause, then to the extent such payment or repayment, the liability or part thereof which has been paid, reduced or satisfied by the amount so repaid shall be reinstated and included with the obligations as of the date that such initial payment reduction or satisfaction occurred.</w:t>
      </w:r>
    </w:p>
    <w:p>
      <w:pPr>
        <w:pStyle w:val="Normal"/>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2160" w:leader="none"/>
        </w:tabs>
        <w:ind w:firstLine="1440" w:start="0" w:end="0"/>
        <w:rPr>
          <w:rFonts w:ascii="Times New Roman" w:hAnsi="Times New Roman" w:cs="Times New Roman"/>
        </w:rPr>
      </w:pPr>
      <w:r>
        <w:rPr>
          <w:rFonts w:cs="Times New Roman" w:ascii="Times New Roman" w:hAnsi="Times New Roman"/>
        </w:rPr>
        <w:t>Any provision of this Agreement that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and the remaining portion of such provision and all other remaining provisions will be construed to render them enforceable to the fullest extent.</w:t>
      </w:r>
    </w:p>
    <w:p>
      <w:pPr>
        <w:pStyle w:val="Normal"/>
        <w:rPr>
          <w:rFonts w:ascii="Times New Roman" w:hAnsi="Times New Roman" w:cs="Times New Roman"/>
        </w:rPr>
      </w:pPr>
      <w:r>
        <w:rPr>
          <w:rFonts w:cs="Times New Roman" w:ascii="Times New Roman" w:hAnsi="Times New Roman"/>
        </w:rPr>
      </w:r>
    </w:p>
    <w:p>
      <w:pPr>
        <w:pStyle w:val="BodyTextIndent3"/>
        <w:rPr/>
      </w:pPr>
      <w:r>
        <w:rPr/>
        <w:t>8.</w:t>
        <w:tab/>
        <w:t>Any payment demand, notice, request, instruction, correspondence or other document to be given hereunder by any party to another (herein collectively called “Notice”) shall be effective upon receipt and delivered in writing personally or mailed by certified mail, postage prepaid and return receipt requested, as follows:</w:t>
      </w:r>
    </w:p>
    <w:p>
      <w:pPr>
        <w:pStyle w:val="Normal"/>
        <w:rPr>
          <w:rFonts w:ascii="Times New Roman" w:hAnsi="Times New Roman" w:cs="Times New Roman"/>
        </w:rPr>
      </w:pPr>
      <w:r>
        <w:rPr>
          <w:rFonts w:cs="Times New Roman" w:ascii="Times New Roman" w:hAnsi="Times New Roman"/>
        </w:rPr>
      </w:r>
    </w:p>
    <w:p>
      <w:pPr>
        <w:pStyle w:val="Normal"/>
        <w:ind w:start="1080" w:end="0"/>
        <w:rPr>
          <w:rFonts w:ascii="Times New Roman" w:hAnsi="Times New Roman" w:cs="Times New Roman"/>
        </w:rPr>
      </w:pPr>
      <w:r>
        <w:rPr>
          <w:rFonts w:cs="Times New Roman" w:ascii="Times New Roman" w:hAnsi="Times New Roman"/>
        </w:rPr>
        <w:t>To Enron:</w:t>
        <w:tab/>
      </w:r>
    </w:p>
    <w:p>
      <w:pPr>
        <w:pStyle w:val="Normal"/>
        <w:ind w:start="1080" w:end="0"/>
        <w:rPr>
          <w:rFonts w:ascii="Times New Roman" w:hAnsi="Times New Roman" w:cs="Times New Roman"/>
        </w:rPr>
      </w:pPr>
      <w:r>
        <w:rPr>
          <w:rFonts w:cs="Times New Roman" w:ascii="Times New Roman" w:hAnsi="Times New Roman"/>
        </w:rPr>
        <w:tab/>
        <w:tab/>
        <w:tab/>
        <w:t>Enron Corp.</w:t>
      </w:r>
    </w:p>
    <w:p>
      <w:pPr>
        <w:pStyle w:val="Normal"/>
        <w:ind w:start="1080" w:end="0"/>
        <w:rPr>
          <w:rFonts w:ascii="Times New Roman" w:hAnsi="Times New Roman" w:cs="Times New Roman"/>
        </w:rPr>
      </w:pPr>
      <w:r>
        <w:rPr>
          <w:rFonts w:cs="Times New Roman" w:ascii="Times New Roman" w:hAnsi="Times New Roman"/>
        </w:rPr>
        <w:tab/>
        <w:tab/>
        <w:tab/>
        <w:t>1400 Smith Street</w:t>
      </w:r>
    </w:p>
    <w:p>
      <w:pPr>
        <w:pStyle w:val="Normal"/>
        <w:ind w:start="1080" w:end="0"/>
        <w:rPr>
          <w:rFonts w:ascii="Times New Roman" w:hAnsi="Times New Roman" w:cs="Times New Roman"/>
        </w:rPr>
      </w:pPr>
      <w:r>
        <w:rPr>
          <w:rFonts w:cs="Times New Roman" w:ascii="Times New Roman" w:hAnsi="Times New Roman"/>
        </w:rPr>
        <w:tab/>
        <w:tab/>
        <w:tab/>
        <w:t>Houston, Texas 77002</w:t>
      </w:r>
    </w:p>
    <w:p>
      <w:pPr>
        <w:pStyle w:val="Normal"/>
        <w:ind w:start="1080" w:end="0"/>
        <w:rPr>
          <w:rFonts w:ascii="Times New Roman" w:hAnsi="Times New Roman" w:cs="Times New Roman"/>
        </w:rPr>
      </w:pPr>
      <w:r>
        <w:rPr>
          <w:rFonts w:cs="Times New Roman" w:ascii="Times New Roman" w:hAnsi="Times New Roman"/>
        </w:rPr>
        <w:tab/>
        <w:tab/>
        <w:tab/>
        <w:t>Attn: Treasurer</w:t>
      </w:r>
    </w:p>
    <w:p>
      <w:pPr>
        <w:pStyle w:val="Normal"/>
        <w:ind w:start="1080" w:end="0"/>
        <w:rPr>
          <w:rFonts w:ascii="Times New Roman" w:hAnsi="Times New Roman" w:cs="Times New Roman"/>
        </w:rPr>
      </w:pPr>
      <w:r>
        <w:rPr>
          <w:rFonts w:cs="Times New Roman" w:ascii="Times New Roman" w:hAnsi="Times New Roman"/>
        </w:rPr>
        <w:tab/>
        <w:tab/>
        <w:tab/>
        <w:t>Fax: (713) 646-3422</w:t>
      </w:r>
    </w:p>
    <w:p>
      <w:pPr>
        <w:pStyle w:val="Normal"/>
        <w:rPr>
          <w:rFonts w:ascii="Times New Roman" w:hAnsi="Times New Roman" w:cs="Times New Roman"/>
        </w:rPr>
      </w:pPr>
      <w:r>
        <w:rPr>
          <w:rFonts w:cs="Times New Roman" w:ascii="Times New Roman" w:hAnsi="Times New Roman"/>
        </w:rPr>
      </w:r>
    </w:p>
    <w:p>
      <w:pPr>
        <w:pStyle w:val="BodyText2"/>
        <w:tabs>
          <w:tab w:val="clear" w:pos="720"/>
          <w:tab w:val="left" w:pos="1080" w:leader="none"/>
        </w:tabs>
        <w:rPr>
          <w:rFonts w:ascii="Times New Roman" w:hAnsi="Times New Roman" w:cs="Times New Roman"/>
        </w:rPr>
      </w:pPr>
      <w:r>
        <w:rPr>
          <w:rFonts w:cs="Times New Roman" w:ascii="Times New Roman" w:hAnsi="Times New Roman"/>
        </w:rPr>
        <w:tab/>
        <w:t>To Peoples:</w:t>
        <w:tab/>
        <w:t>Peoples Energy Corporation</w:t>
      </w:r>
    </w:p>
    <w:p>
      <w:pPr>
        <w:pStyle w:val="Normal"/>
        <w:tabs>
          <w:tab w:val="clear" w:pos="720"/>
          <w:tab w:val="left" w:pos="1080" w:leader="none"/>
        </w:tabs>
        <w:rPr>
          <w:rFonts w:ascii="Times New Roman" w:hAnsi="Times New Roman" w:cs="Times New Roman"/>
        </w:rPr>
      </w:pPr>
      <w:r>
        <w:rPr>
          <w:rFonts w:cs="Times New Roman" w:ascii="Times New Roman" w:hAnsi="Times New Roman"/>
        </w:rPr>
        <w:tab/>
        <w:tab/>
        <w:tab/>
        <w:tab/>
        <w:t>130 East Randolph Drive</w:t>
      </w:r>
    </w:p>
    <w:p>
      <w:pPr>
        <w:pStyle w:val="Normal"/>
        <w:tabs>
          <w:tab w:val="clear" w:pos="720"/>
          <w:tab w:val="left" w:pos="1080" w:leader="none"/>
        </w:tabs>
        <w:rPr>
          <w:rFonts w:ascii="Times New Roman" w:hAnsi="Times New Roman" w:cs="Times New Roman"/>
        </w:rPr>
      </w:pPr>
      <w:r>
        <w:rPr>
          <w:rFonts w:cs="Times New Roman" w:ascii="Times New Roman" w:hAnsi="Times New Roman"/>
        </w:rPr>
        <w:tab/>
        <w:tab/>
        <w:tab/>
        <w:tab/>
        <w:t>Chicago, Illinois 60601</w:t>
      </w:r>
    </w:p>
    <w:p>
      <w:pPr>
        <w:pStyle w:val="Normal"/>
        <w:tabs>
          <w:tab w:val="clear" w:pos="720"/>
          <w:tab w:val="left" w:pos="1080" w:leader="none"/>
        </w:tabs>
        <w:rPr>
          <w:rFonts w:ascii="Times New Roman" w:hAnsi="Times New Roman" w:cs="Times New Roman"/>
        </w:rPr>
      </w:pPr>
      <w:r>
        <w:rPr>
          <w:rFonts w:cs="Times New Roman" w:ascii="Times New Roman" w:hAnsi="Times New Roman"/>
        </w:rPr>
        <w:tab/>
        <w:tab/>
        <w:tab/>
        <w:tab/>
        <w:t>Attn:</w:t>
        <w:tab/>
        <w:t>J. A. Burns, Director, Financial Development</w:t>
      </w:r>
    </w:p>
    <w:p>
      <w:pPr>
        <w:pStyle w:val="Normal"/>
        <w:tabs>
          <w:tab w:val="clear" w:pos="720"/>
          <w:tab w:val="left" w:pos="1080" w:leader="none"/>
        </w:tabs>
        <w:rPr>
          <w:rFonts w:ascii="Times New Roman" w:hAnsi="Times New Roman" w:cs="Times New Roman"/>
        </w:rPr>
      </w:pPr>
      <w:r>
        <w:rPr>
          <w:rFonts w:cs="Times New Roman" w:ascii="Times New Roman" w:hAnsi="Times New Roman"/>
        </w:rPr>
      </w:r>
    </w:p>
    <w:p>
      <w:pPr>
        <w:pStyle w:val="BodyTextIndent2"/>
        <w:rPr/>
      </w:pPr>
      <w:r>
        <w:rPr/>
        <w:tab/>
        <w:t>Any party may change the address to which Notice is to be given to it by giving written notice thereof to the other party.</w:t>
      </w:r>
    </w:p>
    <w:p>
      <w:pPr>
        <w:pStyle w:val="Normal"/>
        <w:tabs>
          <w:tab w:val="clear" w:pos="720"/>
          <w:tab w:val="left" w:pos="1080" w:leader="none"/>
        </w:tabs>
        <w:rPr>
          <w:rFonts w:ascii="Times New Roman" w:hAnsi="Times New Roman" w:cs="Times New Roman"/>
        </w:rPr>
      </w:pPr>
      <w:r>
        <w:rPr>
          <w:rFonts w:cs="Times New Roman" w:ascii="Times New Roman" w:hAnsi="Times New Roman"/>
        </w:rPr>
      </w:r>
    </w:p>
    <w:p>
      <w:pPr>
        <w:pStyle w:val="BodyTextIndent3"/>
        <w:rPr/>
      </w:pPr>
      <w:r>
        <w:rPr/>
        <w:t>9.</w:t>
        <w:tab/>
        <w:t>This Agreement shall be governed by and construed in accordance with the law of the State of New York.</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ind w:firstLine="1440" w:end="0"/>
        <w:rPr>
          <w:rFonts w:ascii="Times New Roman" w:hAnsi="Times New Roman" w:cs="Times New Roman"/>
        </w:rPr>
      </w:pPr>
      <w:r>
        <w:rPr>
          <w:rFonts w:cs="Times New Roman" w:ascii="Times New Roman" w:hAnsi="Times New Roman"/>
        </w:rPr>
        <w:t>10.</w:t>
        <w:tab/>
        <w:t>This Agreement may be executed in any number of counterparts, each of which shall be deemed to be an original and constitute one and the same instrument, and shall be binding upon the parties, their successors and assigns.</w:t>
      </w:r>
    </w:p>
    <w:p>
      <w:pPr>
        <w:pStyle w:val="Normal"/>
        <w:ind w:firstLine="1440" w:end="0"/>
        <w:jc w:val="both"/>
        <w:rPr>
          <w:rFonts w:ascii="CG Times" w:hAnsi="CG Times" w:cs="CG Times"/>
        </w:rPr>
      </w:pPr>
      <w:r>
        <w:rPr>
          <w:rFonts w:cs="CG Times" w:ascii="CG Times" w:hAnsi="CG Times"/>
        </w:rPr>
      </w:r>
    </w:p>
    <w:p>
      <w:pPr>
        <w:pStyle w:val="Normal"/>
        <w:ind w:firstLine="1440" w:end="0"/>
        <w:jc w:val="both"/>
        <w:rPr>
          <w:rFonts w:ascii="CG Times" w:hAnsi="CG Times" w:cs="CG Times"/>
        </w:rPr>
      </w:pPr>
      <w:r>
        <w:rPr>
          <w:rFonts w:cs="CG Times" w:ascii="CG Times" w:hAnsi="CG Times"/>
        </w:rPr>
        <w:t>IN WITNESS WHEREOF, Enron and Peoples have executed this Reimbursement Agreement as of the date set forth above.</w:t>
      </w:r>
    </w:p>
    <w:p>
      <w:pPr>
        <w:pStyle w:val="Normal"/>
        <w:jc w:val="both"/>
        <w:rPr>
          <w:rFonts w:ascii="CG Times" w:hAnsi="CG Times" w:cs="CG Times"/>
        </w:rPr>
      </w:pPr>
      <w:r>
        <w:rPr>
          <w:rFonts w:cs="CG Times" w:ascii="CG Times" w:hAnsi="CG Times"/>
        </w:rPr>
      </w:r>
    </w:p>
    <w:p>
      <w:pPr>
        <w:pStyle w:val="Normal"/>
        <w:jc w:val="both"/>
        <w:rPr>
          <w:rFonts w:ascii="CG Times" w:hAnsi="CG Times" w:cs="CG Times"/>
          <w:b/>
        </w:rPr>
      </w:pPr>
      <w:r>
        <w:rPr>
          <w:rFonts w:cs="CG Times" w:ascii="CG Times" w:hAnsi="CG Times"/>
          <w:b/>
        </w:rPr>
      </w:r>
    </w:p>
    <w:p>
      <w:pPr>
        <w:pStyle w:val="Normal"/>
        <w:jc w:val="both"/>
        <w:rPr>
          <w:rFonts w:ascii="CG Times" w:hAnsi="CG Times" w:cs="CG Times"/>
        </w:rPr>
      </w:pPr>
      <w:r>
        <w:rPr>
          <w:rFonts w:cs="CG Times" w:ascii="CG Times" w:hAnsi="CG Times"/>
          <w:b/>
        </w:rPr>
        <w:t>ENRON CORP.,</w:t>
      </w:r>
    </w:p>
    <w:p>
      <w:pPr>
        <w:pStyle w:val="Normal"/>
        <w:jc w:val="both"/>
        <w:rPr>
          <w:rFonts w:ascii="CG Times" w:hAnsi="CG Times" w:cs="CG Times"/>
        </w:rPr>
      </w:pPr>
      <w:r>
        <w:rPr>
          <w:rFonts w:cs="CG Times" w:ascii="CG Times" w:hAnsi="CG Times"/>
        </w:rPr>
        <w:t>an Oregon corporation</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By:_______________________________</w:t>
      </w:r>
    </w:p>
    <w:p>
      <w:pPr>
        <w:pStyle w:val="Normal"/>
        <w:ind w:firstLine="360" w:end="0"/>
        <w:jc w:val="both"/>
        <w:rPr>
          <w:rFonts w:ascii="CG Times" w:hAnsi="CG Times" w:cs="CG Times"/>
          <w:bCs/>
        </w:rPr>
      </w:pPr>
      <w:r>
        <w:rPr>
          <w:rFonts w:cs="CG Times" w:ascii="CG Times" w:hAnsi="CG Times"/>
          <w:bCs/>
        </w:rPr>
        <w:t>Timothy A. DeSpain</w:t>
      </w:r>
    </w:p>
    <w:p>
      <w:pPr>
        <w:pStyle w:val="Normal"/>
        <w:ind w:firstLine="360" w:end="0"/>
        <w:jc w:val="both"/>
        <w:rPr>
          <w:rFonts w:ascii="CG Times" w:hAnsi="CG Times" w:cs="CG Times"/>
          <w:bCs/>
        </w:rPr>
      </w:pPr>
      <w:r>
        <w:rPr>
          <w:rFonts w:cs="CG Times" w:ascii="CG Times" w:hAnsi="CG Times"/>
          <w:bCs/>
        </w:rPr>
        <w:t>Deputy Treasurer</w:t>
      </w:r>
    </w:p>
    <w:p>
      <w:pPr>
        <w:pStyle w:val="Normal"/>
        <w:jc w:val="both"/>
        <w:rPr>
          <w:rFonts w:ascii="CG Times" w:hAnsi="CG Times" w:cs="CG Times"/>
          <w:b/>
          <w:bCs/>
        </w:rPr>
      </w:pPr>
      <w:r>
        <w:rPr>
          <w:rFonts w:cs="CG Times" w:ascii="CG Times" w:hAnsi="CG Times"/>
          <w:b/>
          <w:bCs/>
        </w:rPr>
      </w:r>
    </w:p>
    <w:p>
      <w:pPr>
        <w:pStyle w:val="Normal"/>
        <w:jc w:val="both"/>
        <w:rPr/>
      </w:pPr>
      <w:r>
        <w:rPr>
          <w:rFonts w:cs="CG Times" w:ascii="CG Times" w:hAnsi="CG Times"/>
          <w:b/>
        </w:rPr>
        <w:t>PEOPLES ENERGY CORPORATION</w:t>
      </w:r>
      <w:r>
        <w:rPr>
          <w:rFonts w:cs="CG Times" w:ascii="CG Times" w:hAnsi="CG Times"/>
        </w:rPr>
        <w:t xml:space="preserve">, </w:t>
      </w:r>
    </w:p>
    <w:p>
      <w:pPr>
        <w:pStyle w:val="Normal"/>
        <w:jc w:val="both"/>
        <w:rPr>
          <w:rFonts w:ascii="CG Times" w:hAnsi="CG Times" w:cs="CG Times"/>
        </w:rPr>
      </w:pPr>
      <w:r>
        <w:rPr>
          <w:rFonts w:cs="CG Times" w:ascii="CG Times" w:hAnsi="CG Times"/>
        </w:rPr>
        <w:t>an Illinois corporation</w:t>
      </w:r>
    </w:p>
    <w:p>
      <w:pPr>
        <w:pStyle w:val="Normal"/>
        <w:ind w:firstLine="2880" w:end="0"/>
        <w:jc w:val="both"/>
        <w:rPr>
          <w:rFonts w:ascii="CG Times" w:hAnsi="CG Times" w:cs="CG Times"/>
        </w:rPr>
      </w:pPr>
      <w:r>
        <w:rPr>
          <w:rFonts w:cs="CG Times" w:ascii="CG Times" w:hAnsi="CG Times"/>
        </w:rPr>
      </w:r>
    </w:p>
    <w:p>
      <w:pPr>
        <w:pStyle w:val="Normal"/>
        <w:ind w:firstLine="2880" w:end="0"/>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By: _______________________________</w:t>
      </w:r>
    </w:p>
    <w:p>
      <w:pPr>
        <w:pStyle w:val="Normal"/>
        <w:jc w:val="both"/>
        <w:rPr>
          <w:rFonts w:ascii="CG Times" w:hAnsi="CG Times" w:cs="CG Times"/>
        </w:rPr>
      </w:pPr>
      <w:r>
        <w:rPr>
          <w:rFonts w:eastAsia="CG Times" w:cs="CG Times" w:ascii="CG Times" w:hAnsi="CG Times"/>
        </w:rPr>
        <w:t xml:space="preserve">      </w:t>
      </w:r>
      <w:r>
        <w:rPr>
          <w:rFonts w:cs="CG Times" w:ascii="CG Times" w:hAnsi="CG Times"/>
        </w:rPr>
        <w:t>Its: _____________________________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rFonts w:ascii="CG Times" w:hAnsi="CG Times" w:cs="CG Times"/>
          <w:u w:val="single"/>
        </w:rPr>
      </w:pPr>
      <w:r>
        <w:rPr>
          <w:rFonts w:cs="CG Times" w:ascii="CG Times" w:hAnsi="CG Times"/>
          <w:u w:val="single"/>
        </w:rPr>
      </w:r>
    </w:p>
    <w:p>
      <w:pPr>
        <w:pStyle w:val="Heading1"/>
        <w:ind w:hanging="0" w:start="0"/>
        <w:rPr>
          <w:rFonts w:ascii="Times New Roman" w:hAnsi="Times New Roman" w:cs="Times New Roman"/>
        </w:rPr>
      </w:pPr>
      <w:r>
        <w:rPr>
          <w:rFonts w:cs="Times New Roman" w:ascii="Times New Roman" w:hAnsi="Times New Roman"/>
        </w:rPr>
        <w:t>EXHIBIT A</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jc w:val="center"/>
        <w:rPr>
          <w:rFonts w:ascii="Times New Roman" w:hAnsi="Times New Roman" w:cs="Times New Roman"/>
          <w:b/>
          <w:u w:val="single"/>
        </w:rPr>
      </w:pPr>
      <w:r>
        <w:rPr>
          <w:rFonts w:cs="Times New Roman" w:ascii="Times New Roman" w:hAnsi="Times New Roman"/>
          <w:b/>
          <w:u w:val="single"/>
        </w:rPr>
        <w:t>Base Contract For Short-Term Sale and Purchase of Natural Gas</w:t>
      </w:r>
      <w:r>
        <w:br w:type="page"/>
      </w:r>
    </w:p>
    <w:p>
      <w:pPr>
        <w:pStyle w:val="Normal"/>
        <w:jc w:val="center"/>
        <w:rPr>
          <w:rFonts w:ascii="Times New Roman" w:hAnsi="Times New Roman" w:cs="Times New Roman"/>
          <w:b/>
          <w:u w:val="single"/>
        </w:rPr>
      </w:pPr>
      <w:r>
        <w:rPr>
          <w:rFonts w:cs="Times New Roman" w:ascii="Times New Roman" w:hAnsi="Times New Roman"/>
          <w:b/>
          <w:u w:val="single"/>
        </w:rPr>
        <w:t>EXHIBIT B</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jc w:val="center"/>
        <w:rPr>
          <w:rFonts w:ascii="Times New Roman" w:hAnsi="Times New Roman" w:cs="Times New Roman"/>
          <w:b/>
          <w:u w:val="single"/>
        </w:rPr>
      </w:pPr>
      <w:r>
        <w:rPr>
          <w:rFonts w:cs="Times New Roman" w:ascii="Times New Roman" w:hAnsi="Times New Roman"/>
          <w:b/>
          <w:u w:val="single"/>
        </w:rPr>
        <w:t>Guaranty</w:t>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2725coa.doc</w:t>
    </w:r>
    <w:r>
      <w:rPr>
        <w:sz w:val="16"/>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2725coa.doc</w:t>
    </w:r>
    <w:r>
      <w:rPr>
        <w:sz w:val="16"/>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85090"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8">
              <wp:simplePos x="0" y="0"/>
              <wp:positionH relativeFrom="page">
                <wp:posOffset>3749675</wp:posOffset>
              </wp:positionH>
              <wp:positionV relativeFrom="paragraph">
                <wp:posOffset>30480</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2.4pt;mso-position-vertical-relative:text;margin-left:295.25pt;mso-position-horizontal-relative:page">
              <v:fill opacity="0f"/>
              <v:textbox inset="0in,0in,0in,0in">
                <w:txbxContent>
                  <w:p>
                    <w:pPr>
                      <w:pStyle w:val="Foot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2160"/>
        </w:tabs>
        <w:ind w:start="2160" w:hanging="720"/>
      </w:pPr>
      <w:rPr/>
    </w:lvl>
  </w:abstractNum>
  <w:abstractNum w:abstractNumId="3">
    <w:lvl w:ilvl="0">
      <w:start w:val="7"/>
      <w:numFmt w:val="decimal"/>
      <w:lvlText w:val="%1."/>
      <w:lvlJc w:val="start"/>
      <w:pPr>
        <w:tabs>
          <w:tab w:val="num" w:pos="1800"/>
        </w:tabs>
        <w:ind w:start="18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1440" w:start="0" w:end="0"/>
      <w:jc w:val="both"/>
    </w:pPr>
    <w:rPr>
      <w:rFonts w:ascii="CG Times" w:hAnsi="CG Times" w:cs="CG 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1440" w:start="0" w:end="0"/>
    </w:pPr>
    <w:rPr>
      <w:rFonts w:ascii="Times New Roman" w:hAnsi="Times New Roman" w:cs="Times New Roman"/>
    </w:rPr>
  </w:style>
  <w:style w:type="paragraph" w:styleId="BodyText2">
    <w:name w:val="Body Text 2"/>
    <w:basedOn w:val="Normal"/>
    <w:qFormat/>
    <w:pPr/>
    <w:rPr>
      <w:spacing w:val="-5"/>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2000-10-26T15:09:00Z</dcterms:created>
  <dc:creator>JACOB</dc:creator>
  <dc:description/>
  <dc:language>en-CA</dc:language>
  <cp:lastModifiedBy>crichar1</cp:lastModifiedBy>
  <cp:lastPrinted>2000-10-30T09:28:00Z</cp:lastPrinted>
  <dcterms:modified xsi:type="dcterms:W3CDTF">2000-10-30T12:58:00Z</dcterms:modified>
  <cp:revision>6</cp:revision>
  <dc:subject/>
  <dc:title>REIMBURSEMENT AGREEMENT</dc:title>
</cp:coreProperties>
</file>