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sz w:val="24"/>
        </w:rPr>
      </w:pPr>
      <w:r>
        <w:rPr>
          <w:sz w:val="24"/>
        </w:rPr>
      </w:r>
    </w:p>
    <w:p>
      <w:pPr>
        <w:pStyle w:val="Normal"/>
        <w:widowControl/>
        <w:tabs>
          <w:tab w:val="clear" w:pos="720"/>
          <w:tab w:val="center" w:pos="4680" w:leader="none"/>
        </w:tabs>
        <w:jc w:val="both"/>
        <w:rPr>
          <w:b/>
          <w:sz w:val="24"/>
        </w:rPr>
      </w:pPr>
      <w:r>
        <w:rPr>
          <w:b/>
          <w:sz w:val="24"/>
        </w:rPr>
        <w:tab/>
        <w:t xml:space="preserve">B INTEREST ASSIGNMENT </w:t>
      </w:r>
    </w:p>
    <w:p>
      <w:pPr>
        <w:pStyle w:val="Normal"/>
        <w:widowControl/>
        <w:rPr>
          <w:b/>
          <w:sz w:val="24"/>
        </w:rPr>
      </w:pPr>
      <w:r>
        <w:rPr>
          <w:b/>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THIS B INTEREST ASSIGNMENT AGREEMENT dated as of December </w:t>
      </w:r>
      <w:r>
        <w:rPr>
          <w:strike/>
          <w:color w:val="FF0000"/>
          <w:sz w:val="24"/>
        </w:rPr>
        <w:t>____</w:t>
      </w:r>
      <w:r>
        <w:rPr>
          <w:b/>
          <w:color w:val="FF0000"/>
          <w:sz w:val="24"/>
          <w:u w:val="double"/>
        </w:rPr>
        <w:t>15</w:t>
      </w:r>
      <w:r>
        <w:rPr>
          <w:sz w:val="24"/>
        </w:rPr>
        <w:t>, 2000 (this “</w:t>
      </w:r>
      <w:r>
        <w:rPr>
          <w:sz w:val="24"/>
          <w:u w:val="single"/>
        </w:rPr>
        <w:t>Agreement</w:t>
      </w:r>
      <w:r>
        <w:rPr>
          <w:sz w:val="24"/>
        </w:rPr>
        <w:t>”) is executed by and between Big Island VIII, L.L.C., a Delaware limited liability company (the “</w:t>
      </w:r>
      <w:r>
        <w:rPr>
          <w:sz w:val="24"/>
          <w:u w:val="single"/>
        </w:rPr>
        <w:t>Transferor</w:t>
      </w:r>
      <w:r>
        <w:rPr>
          <w:sz w:val="24"/>
        </w:rPr>
        <w:t>”), whose principal place of business is at 1400 Smith Street, Houston, Texas 77002 and the HAWAII II 125-0 TRUST (the “</w:t>
      </w:r>
      <w:r>
        <w:rPr>
          <w:sz w:val="24"/>
          <w:u w:val="single"/>
        </w:rPr>
        <w:t>Trust</w:t>
      </w:r>
      <w:r>
        <w:rPr>
          <w:sz w:val="24"/>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u w:val="single"/>
        </w:rPr>
        <w:t>R E C I T A L 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The Transferor is the owner of the Asset LLC Interest.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The Transferor is entering into that certain Transfer and Auction Agreement dated of even date herewith (the “</w:t>
      </w:r>
      <w:r>
        <w:rPr>
          <w:sz w:val="24"/>
          <w:u w:val="single"/>
        </w:rPr>
        <w:t>Transfer and Auction Agreement</w:t>
      </w:r>
      <w:r>
        <w:rPr>
          <w:sz w:val="24"/>
        </w:rPr>
        <w:t>”) with the Trust and Enron Broadband Services, Inc., an Oregon corporation (“</w:t>
      </w:r>
      <w:r>
        <w:rPr>
          <w:sz w:val="24"/>
          <w:u w:val="single"/>
        </w:rPr>
        <w:t>Sponsor</w:t>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Pursuant to the terms of the Transfer and Auction Agreement, the Trust is acquiring the Asset LLC Interest from the Transferor.</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u w:val="single"/>
        </w:rPr>
        <w:t>A G R E E M E N T 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center" w:pos="4680" w:leader="none"/>
        </w:tabs>
        <w:rPr/>
      </w:pPr>
      <w:r>
        <w:rPr>
          <w:sz w:val="24"/>
        </w:rPr>
        <w:tab/>
      </w:r>
      <w:r>
        <w:rPr>
          <w:b/>
          <w:sz w:val="24"/>
        </w:rPr>
        <w:t>ARTICLE I</w:t>
      </w:r>
    </w:p>
    <w:p>
      <w:pPr>
        <w:pStyle w:val="Normal"/>
        <w:keepNext w:val="true"/>
        <w:keepLines/>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keepNext w:val="true"/>
        <w:keepLines/>
        <w:widowControl/>
        <w:tabs>
          <w:tab w:val="clear" w:pos="720"/>
          <w:tab w:val="center" w:pos="4680" w:leader="none"/>
        </w:tabs>
        <w:rPr>
          <w:sz w:val="24"/>
        </w:rPr>
      </w:pPr>
      <w:r>
        <w:rPr>
          <w:b/>
          <w:sz w:val="24"/>
        </w:rPr>
        <w:tab/>
      </w:r>
      <w:r>
        <w:rPr>
          <w:b/>
          <w:sz w:val="24"/>
          <w:u w:val="single"/>
        </w:rPr>
        <w:t>DEFINITIONS</w:t>
      </w:r>
    </w:p>
    <w:p>
      <w:pPr>
        <w:pStyle w:val="Normal"/>
        <w:keepNext w:val="false"/>
        <w:keepLines/>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Lines w:val="false"/>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1.01</w:t>
        <w:tab/>
      </w:r>
      <w:r>
        <w:rPr>
          <w:sz w:val="24"/>
          <w:u w:val="single"/>
        </w:rPr>
        <w:t>Definitions</w:t>
      </w:r>
      <w:r>
        <w:rPr>
          <w:sz w:val="24"/>
        </w:rPr>
        <w:t>.  The capitalized terms referenced in this Agreement (and not otherwise defined herein) shall have the meanings set forth in the Transfer and Auction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pPr>
      <w:r>
        <w:rPr>
          <w:sz w:val="24"/>
        </w:rPr>
        <w:tab/>
      </w:r>
      <w:r>
        <w:rPr>
          <w:b/>
          <w:sz w:val="24"/>
        </w:rPr>
        <w:t>ARTICLE II</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b/>
          <w:sz w:val="24"/>
        </w:rPr>
      </w:pPr>
      <w:r>
        <w:rPr>
          <w:b/>
          <w:sz w:val="24"/>
        </w:rPr>
        <w:tab/>
      </w:r>
      <w:r>
        <w:rPr>
          <w:b/>
          <w:sz w:val="24"/>
          <w:u w:val="single"/>
        </w:rPr>
        <w:t>ASSIGNMENT OF THE ASSET LLC INTEREST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2.01</w:t>
        <w:tab/>
      </w:r>
      <w:r>
        <w:rPr>
          <w:sz w:val="24"/>
          <w:u w:val="single"/>
        </w:rPr>
        <w:t>Conveyance</w:t>
      </w:r>
      <w:r>
        <w:rPr>
          <w:sz w:val="24"/>
        </w:rPr>
        <w:t>.  The Transferor does hereby assign, set-over,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2.02</w:t>
        <w:tab/>
      </w:r>
      <w:r>
        <w:rPr>
          <w:sz w:val="24"/>
          <w:u w:val="single"/>
        </w:rPr>
        <w:t>Intention of Parties</w:t>
      </w:r>
      <w:r>
        <w:fldChar w:fldCharType="begin"/>
      </w:r>
      <w:r>
        <w:rPr/>
        <w:instrText xml:space="preserve"> TC "Section 2.02</w:instrText>
        <w:tab/>
        <w:instrText xml:space="preserve">Intention of Parties" \l 2 </w:instrText>
      </w:r>
      <w:r>
        <w:rPr/>
        <w:fldChar w:fldCharType="separate"/>
      </w:r>
      <w:r>
        <w:rPr/>
      </w:r>
      <w:r>
        <w:rPr/>
        <w:fldChar w:fldCharType="end"/>
      </w:r>
      <w:r>
        <w:rPr>
          <w:sz w:val="24"/>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2.03</w:t>
        <w:tab/>
      </w:r>
      <w:r>
        <w:rPr>
          <w:sz w:val="24"/>
          <w:u w:val="single"/>
        </w:rPr>
        <w:t>Characterization for Tax Purposes</w:t>
      </w:r>
      <w:r>
        <w:fldChar w:fldCharType="begin"/>
      </w:r>
      <w:r>
        <w:rPr/>
        <w:instrText xml:space="preserve"> TC "Section 2.03</w:instrText>
        <w:tab/>
        <w:instrText xml:space="preserve">Characterization for Tax Purposes" \l 2 </w:instrText>
      </w:r>
      <w:r>
        <w:rPr/>
        <w:fldChar w:fldCharType="separate"/>
      </w:r>
      <w:r>
        <w:rPr/>
      </w:r>
      <w:r>
        <w:rPr/>
        <w:fldChar w:fldCharType="end"/>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r>
      <w:r>
        <w:rPr>
          <w:sz w:val="24"/>
          <w:u w:val="single"/>
        </w:rPr>
        <w:t>Financing Treatment</w:t>
      </w:r>
      <w:r>
        <w:rPr>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r>
      <w:r>
        <w:rPr>
          <w:sz w:val="24"/>
          <w:u w:val="single"/>
        </w:rPr>
        <w:t>Reporting</w:t>
      </w:r>
      <w:r>
        <w:rPr>
          <w:sz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b/>
          <w:sz w:val="24"/>
        </w:rPr>
      </w:pPr>
      <w:r>
        <w:rPr>
          <w:b/>
          <w:sz w:val="24"/>
        </w:rPr>
        <w:tab/>
        <w:t>ARTICLE III</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sz w:val="24"/>
        </w:rPr>
      </w:pPr>
      <w:r>
        <w:rPr>
          <w:b/>
          <w:sz w:val="24"/>
        </w:rPr>
        <w:tab/>
      </w:r>
      <w:r>
        <w:rPr>
          <w:b/>
          <w:sz w:val="24"/>
          <w:u w:val="single"/>
        </w:rPr>
        <w:t>MISCELLANEOUS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3.01</w:t>
        <w:tab/>
      </w:r>
      <w:r>
        <w:rPr>
          <w:sz w:val="24"/>
          <w:u w:val="single"/>
        </w:rPr>
        <w:t>Further Assurances</w:t>
      </w:r>
      <w:r>
        <w:rPr>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3.02</w:t>
        <w:tab/>
      </w:r>
      <w:r>
        <w:rPr>
          <w:sz w:val="24"/>
          <w:u w:val="single"/>
        </w:rPr>
        <w:t>Successors and Assigns</w:t>
      </w:r>
      <w:r>
        <w:rPr>
          <w:sz w:val="24"/>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3.03</w:t>
        <w:tab/>
      </w:r>
      <w:r>
        <w:rPr>
          <w:sz w:val="24"/>
          <w:u w:val="single"/>
        </w:rPr>
        <w:t>Governing Law</w:t>
      </w:r>
      <w:r>
        <w:rPr>
          <w:sz w:val="24"/>
        </w:rPr>
        <w:t>.  THIS AGREEMENT SHALL BE GOVERNED BY AND INTERPRETED IN ACCORDANCE WITH THE LAWS OF THE STATE OF DELAWARE.</w:t>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b/>
        <w:tab/>
        <w:tab/>
        <w:tab/>
        <w:tab/>
      </w:r>
      <w:r>
        <w:rPr>
          <w:b/>
          <w:sz w:val="24"/>
        </w:rPr>
        <w:t>Big Island VIII, L.L.C.</w:t>
      </w:r>
      <w:r>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a Delaware limited liability company</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 xml:space="preserve">By: </w:t>
      </w:r>
      <w:r>
        <w:rPr>
          <w:b/>
        </w:rPr>
        <w:t>Enron Broadband Services, Inc.</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its Managing Member</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860"/>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b/>
        </w:rPr>
      </w:pPr>
      <w:r>
        <w:rPr>
          <w:b/>
        </w:rPr>
        <w:t>HAWAII II 125-0 TRUST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5040" w:end="0"/>
        <w:rPr/>
      </w:pPr>
      <w:r>
        <w:rPr/>
        <w:tab/>
        <w:tab/>
        <w:tab/>
        <w:tab/>
        <w:tab/>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440" w:right="1440" w:gutter="0" w:header="1440" w:top="1496" w:footer="1440" w:bottom="1860"/>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original document   : C:\DOCUME~1\MOORCH\LOCALS~1\TEMP\DAL_271733_1</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and revised document: C:\DOCUME~1\MOORCH\LOCALS~1\TEMP\DAL_271733_2</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CompareRite found    1 change(s) in the text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Deletions appear as Strikethrough text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t xml:space="preserve">Additions appear as Bold+Dbl Underline text </w:t>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DAL:271733.2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DAL:271733.2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