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1260" w:leader="none"/>
        </w:tabs>
        <w:jc w:val="both"/>
        <w:rPr/>
      </w:pPr>
      <w:r>
        <w:rPr/>
        <w:t>TO:</w:t>
        <w:tab/>
        <w:tab/>
        <w:t>Bob Cano</w:t>
        <w:tab/>
        <w:tab/>
        <w:t>Dennis Keefer</w:t>
        <w:tab/>
        <w:tab/>
        <w:tab/>
        <w:t>Frank Petty</w:t>
      </w:r>
    </w:p>
    <w:p>
      <w:pPr>
        <w:pStyle w:val="Normal"/>
        <w:tabs>
          <w:tab w:val="clear" w:pos="720"/>
          <w:tab w:val="left" w:pos="1440" w:leader="none"/>
        </w:tabs>
        <w:jc w:val="both"/>
        <w:rPr/>
      </w:pPr>
      <w:r>
        <w:rPr/>
        <w:tab/>
        <w:t>Stephen Dowd</w:t>
        <w:tab/>
        <w:tab/>
        <w:t>David Lund</w:t>
        <w:tab/>
        <w:tab/>
        <w:tab/>
        <w:t>Mike Ranz</w:t>
      </w:r>
    </w:p>
    <w:p>
      <w:pPr>
        <w:pStyle w:val="Normal"/>
        <w:tabs>
          <w:tab w:val="clear" w:pos="720"/>
          <w:tab w:val="left" w:pos="1440" w:leader="none"/>
        </w:tabs>
        <w:jc w:val="both"/>
        <w:rPr/>
      </w:pPr>
      <w:r>
        <w:rPr/>
        <w:tab/>
        <w:t>Gavin Gaul</w:t>
        <w:tab/>
        <w:tab/>
        <w:t>Mike Miller</w:t>
        <w:tab/>
        <w:tab/>
        <w:tab/>
        <w:t>Bob Virgo</w:t>
      </w:r>
    </w:p>
    <w:p>
      <w:pPr>
        <w:pStyle w:val="Header"/>
        <w:tabs>
          <w:tab w:val="clear" w:pos="4320"/>
          <w:tab w:val="clear" w:pos="8640"/>
          <w:tab w:val="left" w:pos="1440" w:leader="none"/>
        </w:tabs>
        <w:jc w:val="both"/>
        <w:rPr/>
      </w:pPr>
      <w:r>
        <w:rPr/>
        <w:tab/>
        <w:t>Mike Indivero</w:t>
        <w:tab/>
        <w:tab/>
        <w:t>Fred Mitro</w:t>
        <w:tab/>
        <w:tab/>
        <w:tab/>
        <w:t>Nick Viscount</w:t>
      </w:r>
    </w:p>
    <w:p>
      <w:pPr>
        <w:pStyle w:val="Normal"/>
        <w:tabs>
          <w:tab w:val="clear" w:pos="720"/>
          <w:tab w:val="left" w:pos="1440" w:leader="none"/>
        </w:tabs>
        <w:jc w:val="both"/>
        <w:rPr/>
      </w:pPr>
      <w:r>
        <w:rPr/>
        <w:tab/>
        <w:t>Ben Jacoby</w:t>
        <w:tab/>
        <w:tab/>
        <w:t>Donal O’Callaghan</w:t>
      </w:r>
    </w:p>
    <w:p>
      <w:pPr>
        <w:pStyle w:val="Normal"/>
        <w:jc w:val="both"/>
        <w:rPr/>
      </w:pPr>
      <w:r>
        <w:rPr/>
      </w:r>
    </w:p>
    <w:p>
      <w:pPr>
        <w:pStyle w:val="Normal"/>
        <w:jc w:val="both"/>
        <w:rPr/>
      </w:pPr>
      <w:r>
        <w:rPr/>
        <w:t>COPIES TO:</w:t>
        <w:tab/>
        <w:t>Sharon Butcher</w:t>
        <w:tab/>
        <w:t>David Oxley</w:t>
      </w:r>
    </w:p>
    <w:p>
      <w:pPr>
        <w:pStyle w:val="Normal"/>
        <w:ind w:firstLine="720" w:start="720" w:end="0"/>
        <w:jc w:val="both"/>
        <w:rPr/>
      </w:pPr>
      <w:r>
        <w:rPr/>
        <w:t>Paul Gonzales</w:t>
        <w:tab/>
        <w:tab/>
        <w:t>Kriste Sullivan</w:t>
      </w:r>
    </w:p>
    <w:p>
      <w:pPr>
        <w:pStyle w:val="Normal"/>
        <w:jc w:val="both"/>
        <w:rPr/>
      </w:pPr>
      <w:r>
        <w:rPr/>
        <w:tab/>
        <w:tab/>
        <w:t>Drew Lynch</w:t>
      </w:r>
    </w:p>
    <w:p>
      <w:pPr>
        <w:pStyle w:val="Normal"/>
        <w:jc w:val="both"/>
        <w:rPr/>
      </w:pPr>
      <w:r>
        <w:rPr/>
      </w:r>
    </w:p>
    <w:p>
      <w:pPr>
        <w:pStyle w:val="Normal"/>
        <w:jc w:val="both"/>
        <w:rPr/>
      </w:pPr>
      <w:r>
        <w:rPr/>
        <w:t>SUBJECT:</w:t>
        <w:tab/>
        <w:t>Employee/Labor Relations:  2000 Peaker Project Site(s)</w:t>
      </w:r>
    </w:p>
    <w:p>
      <w:pPr>
        <w:pStyle w:val="Normal"/>
        <w:jc w:val="both"/>
        <w:rPr/>
      </w:pPr>
      <w:r>
        <w:rPr/>
      </w:r>
    </w:p>
    <w:p>
      <w:pPr>
        <w:pStyle w:val="Normal"/>
        <w:jc w:val="both"/>
        <w:rPr/>
      </w:pPr>
      <w:r>
        <w:rPr/>
        <w:t xml:space="preserve">As you are aware, the Project Labor Agreements (PLAs) for the peaker project(s) have been executed in the names of the respective L.L.C.s, not Enron, EECC, or Nepco.  Specifically, the interest and obligation of administration fall to the Owner entity (L.L.C.) and its respective agents, </w:t>
      </w:r>
      <w:r>
        <w:rPr>
          <w:i/>
        </w:rPr>
        <w:t>i.e.</w:t>
      </w:r>
      <w:r>
        <w:rPr/>
        <w:t>, the site Construction Manager and the individual Execution Contractors.  The express purpose and objective of this labor strategy were to confine union obligations to the special purpose entity, to minimize the labor risk to ENA, EE&amp;CC, and Nepco, and to facilitate siting and project needs.</w:t>
      </w:r>
    </w:p>
    <w:p>
      <w:pPr>
        <w:pStyle w:val="Normal"/>
        <w:jc w:val="both"/>
        <w:rPr/>
      </w:pPr>
      <w:r>
        <w:rPr/>
      </w:r>
    </w:p>
    <w:p>
      <w:pPr>
        <w:pStyle w:val="Normal"/>
        <w:jc w:val="both"/>
        <w:rPr/>
      </w:pPr>
      <w:r>
        <w:rPr/>
        <w:t xml:space="preserve">To preserve the intent of our planning, </w:t>
      </w:r>
      <w:r>
        <w:rPr>
          <w:b/>
          <w:i/>
        </w:rPr>
        <w:t>at no time</w:t>
      </w:r>
      <w:r>
        <w:rPr/>
        <w:t xml:space="preserve"> during the life of these construction project labor agreement(s) should ENA, EE&amp;CC and/or NEPCO assume an </w:t>
      </w:r>
      <w:r>
        <w:rPr>
          <w:b/>
          <w:i/>
        </w:rPr>
        <w:t>active or declarative</w:t>
      </w:r>
      <w:r>
        <w:rPr/>
        <w:t xml:space="preserve"> role in the administration, enforcement, or remedy protocols contained within the Agreements.  The employer responsibilities rest with the Execution Contractors and </w:t>
      </w:r>
      <w:r>
        <w:rPr>
          <w:i/>
        </w:rPr>
        <w:t>should not</w:t>
      </w:r>
      <w:r>
        <w:rPr/>
        <w:t xml:space="preserve"> be usurped by the Owner, Construction Manager, or affiliate interests.</w:t>
      </w:r>
    </w:p>
    <w:p>
      <w:pPr>
        <w:pStyle w:val="Normal"/>
        <w:jc w:val="both"/>
        <w:rPr/>
      </w:pPr>
      <w:r>
        <w:rPr/>
      </w:r>
    </w:p>
    <w:p>
      <w:pPr>
        <w:pStyle w:val="Normal"/>
        <w:jc w:val="both"/>
        <w:rPr/>
      </w:pPr>
      <w:r>
        <w:rPr/>
        <w:t>It is appropriate for the Owner and/or Construction manager to observe compliance, performance, and practices related to the employment decisions and job climate at a project.  The risk increases when monitoring activities may be construed as direction, interference, or an exercise of control/authority related to employment decisions.</w:t>
      </w:r>
    </w:p>
    <w:p>
      <w:pPr>
        <w:pStyle w:val="Normal"/>
        <w:jc w:val="both"/>
        <w:rPr/>
      </w:pPr>
      <w:r>
        <w:rPr/>
      </w:r>
    </w:p>
    <w:p>
      <w:pPr>
        <w:pStyle w:val="Normal"/>
        <w:jc w:val="both"/>
        <w:rPr/>
      </w:pPr>
      <w:r>
        <w:rPr/>
        <w:t>Our recommendations are that all employee and labor relations, including personnel decisions (hiring, firing, job assignments, etc.), union communications, grievance processing, arbitration, pre-job, and/or joint labor management processes, etc. be treated as the sole province of the Execution Contractors.  Adjunct to their role, the Execution Contractors should be aware of their obligation to communicate with the Owner/Construction Manager about employment-related activity and determinations that may affect project completion, milestones, quality, etc.  Information such as salaries paid, performance reviews, etc. usually will not be communicated and are not relevant to the owner.</w:t>
      </w:r>
    </w:p>
    <w:p>
      <w:pPr>
        <w:pStyle w:val="Normal"/>
        <w:jc w:val="both"/>
        <w:rPr/>
      </w:pPr>
      <w:r>
        <w:rPr/>
      </w:r>
    </w:p>
    <w:p>
      <w:pPr>
        <w:pStyle w:val="Normal"/>
        <w:jc w:val="both"/>
        <w:rPr/>
      </w:pPr>
      <w:r>
        <w:rPr/>
        <w:t>Thank you for your attention to these issues.  If you have any questions, please call:</w:t>
      </w:r>
    </w:p>
    <w:p>
      <w:pPr>
        <w:pStyle w:val="Normal"/>
        <w:jc w:val="both"/>
        <w:rPr/>
      </w:pPr>
      <w:r>
        <w:rPr/>
      </w:r>
    </w:p>
    <w:p>
      <w:pPr>
        <w:pStyle w:val="Normal"/>
        <w:jc w:val="both"/>
        <w:rPr/>
      </w:pPr>
      <w:r>
        <w:rPr/>
        <w:t>Rick Johnson</w:t>
      </w:r>
    </w:p>
    <w:p>
      <w:pPr>
        <w:pStyle w:val="Normal"/>
        <w:jc w:val="both"/>
        <w:rPr/>
      </w:pPr>
      <w:r>
        <w:rPr/>
        <w:t>Fair Labor Practices, Human Resources, Enron Corp.</w:t>
      </w:r>
    </w:p>
    <w:p>
      <w:pPr>
        <w:pStyle w:val="Normal"/>
        <w:jc w:val="both"/>
        <w:rPr/>
      </w:pPr>
      <w:r>
        <w:rPr/>
        <w:t>Houston (713) 853-9253 or Portland (503) 464-7548</w:t>
      </w:r>
    </w:p>
    <w:p>
      <w:pPr>
        <w:pStyle w:val="Normal"/>
        <w:jc w:val="both"/>
        <w:rPr/>
      </w:pPr>
      <w:r>
        <w:rPr/>
      </w:r>
    </w:p>
    <w:p>
      <w:pPr>
        <w:pStyle w:val="Normal"/>
        <w:jc w:val="both"/>
        <w:rPr/>
      </w:pPr>
      <w:r>
        <w:rPr/>
        <w:t>Michelle Cash</w:t>
      </w:r>
    </w:p>
    <w:p>
      <w:pPr>
        <w:pStyle w:val="Normal"/>
        <w:jc w:val="both"/>
        <w:rPr/>
      </w:pPr>
      <w:r>
        <w:rPr/>
        <w:t>Enron North America Legal Department</w:t>
      </w:r>
    </w:p>
    <w:p>
      <w:pPr>
        <w:pStyle w:val="Normal"/>
        <w:jc w:val="both"/>
        <w:rPr/>
      </w:pPr>
      <w:r>
        <w:rPr/>
        <w:t>Houston (713) 853-6401</w:t>
      </w:r>
    </w:p>
    <w:sectPr>
      <w:headerReference w:type="default" r:id="rId2"/>
      <w:type w:val="nextPage"/>
      <w:pgSz w:w="12240" w:h="15840"/>
      <w:pgMar w:left="1440" w:right="1440" w:gutter="0" w:header="72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u w:val="single"/>
      </w:rPr>
      <w:t>CONFIDENTIAL</w:t>
    </w:r>
    <w:r>
      <w:rPr/>
      <w:tab/>
      <w:tab/>
    </w:r>
    <w:r>
      <w:rPr>
        <w:b/>
      </w:rPr>
      <w:t>DRAFT</w:t>
    </w:r>
  </w:p>
  <w:p>
    <w:pPr>
      <w:pStyle w:val="Header"/>
      <w:rPr>
        <w:b/>
      </w:rPr>
    </w:pPr>
    <w:r>
      <w:rPr>
        <w:b/>
      </w:rPr>
      <w:tab/>
      <w:tab/>
    </w:r>
  </w:p>
</w:hdr>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2000-01-21T13:54:00Z</dcterms:created>
  <dc:creator>tsweet</dc:creator>
  <dc:description/>
  <dc:language>en-CA</dc:language>
  <cp:lastModifiedBy>tsweet</cp:lastModifiedBy>
  <cp:lastPrinted>2000-02-07T15:48:00Z</cp:lastPrinted>
  <dcterms:modified xsi:type="dcterms:W3CDTF">2000-02-07T20:35:00Z</dcterms:modified>
  <cp:revision>5</cp:revision>
  <dc:subject/>
  <dc:title>TO:</dc:title>
</cp:coreProperties>
</file>