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ab/>
      </w:r>
      <w:r>
        <w:rPr>
          <w:b/>
          <w:sz w:val="24"/>
          <w:u w:val="single"/>
        </w:rPr>
        <w:t>NOTICE OF PUT OPTION ASSIGNMENT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w:t>
        <w:tab/>
        <w:tab/>
        <w:t>Enron Broadband Services, Inc. (“Sponsor”)</w:t>
      </w:r>
    </w:p>
    <w:p>
      <w:pPr>
        <w:pStyle w:val="Normal"/>
        <w:widowControl/>
        <w:rPr>
          <w:sz w:val="24"/>
        </w:rPr>
      </w:pPr>
      <w:r>
        <w:rPr>
          <w:sz w:val="24"/>
        </w:rPr>
      </w:r>
    </w:p>
    <w:p>
      <w:pPr>
        <w:pStyle w:val="Normal"/>
        <w:widowControl/>
        <w:rPr>
          <w:sz w:val="24"/>
        </w:rPr>
      </w:pPr>
      <w:r>
        <w:rPr>
          <w:sz w:val="24"/>
        </w:rPr>
        <w:t>From:</w:t>
        <w:tab/>
        <w:tab/>
        <w:t>Hawaii II 125-0 Trust (the “Trust”)</w:t>
      </w:r>
    </w:p>
    <w:p>
      <w:pPr>
        <w:pStyle w:val="Normal"/>
        <w:widowControl/>
        <w:rPr>
          <w:sz w:val="24"/>
        </w:rPr>
      </w:pPr>
      <w:r>
        <w:rPr>
          <w:sz w:val="24"/>
        </w:rPr>
      </w:r>
    </w:p>
    <w:p>
      <w:pPr>
        <w:pStyle w:val="Normal"/>
        <w:widowControl/>
        <w:rPr/>
      </w:pPr>
      <w:r>
        <w:rPr>
          <w:sz w:val="24"/>
        </w:rPr>
        <w:t>Date:</w:t>
        <w:tab/>
        <w:tab/>
        <w:t xml:space="preserve">December </w:t>
      </w:r>
      <w:r>
        <w:rPr>
          <w:strike/>
          <w:color w:val="FF0000"/>
          <w:sz w:val="24"/>
        </w:rPr>
        <w:t>___</w:t>
      </w:r>
      <w:r>
        <w:rPr>
          <w:b/>
          <w:color w:val="FF0000"/>
          <w:sz w:val="24"/>
          <w:u w:val="double"/>
        </w:rPr>
        <w:t>15</w:t>
      </w:r>
      <w:r>
        <w:rPr>
          <w:sz w:val="24"/>
        </w:rPr>
        <w:t>, 2000</w:t>
      </w:r>
    </w:p>
    <w:p>
      <w:pPr>
        <w:pStyle w:val="Normal"/>
        <w:widowControl/>
        <w:rPr>
          <w:sz w:val="24"/>
        </w:rPr>
      </w:pPr>
      <w:r>
        <w:rPr>
          <w:sz w:val="24"/>
        </w:rPr>
      </w:r>
    </w:p>
    <w:p>
      <w:pPr>
        <w:pStyle w:val="Normal"/>
        <w:widowControl/>
        <w:rPr>
          <w:sz w:val="24"/>
        </w:rPr>
      </w:pPr>
      <w:r>
        <w:rPr>
          <w:sz w:val="24"/>
        </w:rPr>
      </w:r>
    </w:p>
    <w:p>
      <w:pPr>
        <w:pStyle w:val="Normal"/>
        <w:widowControl/>
        <w:spacing w:lineRule="auto" w:line="480"/>
        <w:rPr>
          <w:sz w:val="24"/>
        </w:rPr>
      </w:pPr>
      <w:r>
        <w:rPr>
          <w:sz w:val="24"/>
        </w:rPr>
        <w:tab/>
        <w:tab/>
        <w:t>Reference is made to that certain Put Option Agreement dated the date hereof (the “Put Option Agreement”) between Sponsor and McGarret VIII, L.L.C.  The Trust hereby gives notice to Sponsor that pursuant to a Put Option Assignment dated the date hereof (a copy of which is attached hereto) McGarret VIII, L.L.C. has assigned to the Trust as its ultimate economic owner, all of its rights to deliver Put Notices (as defined in the Put Option Agreement) pursuant to Section 2 of the Put Option Agreement.</w:t>
      </w:r>
      <w:r>
        <w:br w:type="page"/>
      </w:r>
    </w:p>
    <w:p>
      <w:pPr>
        <w:pStyle w:val="Normal"/>
        <w:widowControl/>
        <w:spacing w:lineRule="auto" w:line="48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spacing w:lineRule="auto" w:line="480"/>
        <w:rPr>
          <w:sz w:val="24"/>
        </w:rPr>
      </w:pPr>
      <w:r>
        <w:rPr>
          <w:sz w:val="24"/>
        </w:rPr>
      </w:r>
    </w:p>
    <w:p>
      <w:pPr>
        <w:pStyle w:val="Normal"/>
        <w:widowControl/>
        <w:spacing w:lineRule="auto" w:line="240"/>
        <w:rPr>
          <w:sz w:val="24"/>
        </w:rPr>
      </w:pPr>
      <w:r>
        <w:rPr>
          <w:sz w:val="24"/>
        </w:rPr>
        <w:tab/>
        <w:t>IN WITNESS WHEREOF, the Trust has executed this Notice of Assignment as of the day and year first above written.</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widowControl/>
        <w:spacing w:lineRule="auto" w:line="240"/>
        <w:ind w:end="0"/>
        <w:rPr>
          <w:b/>
          <w:sz w:val="24"/>
        </w:rPr>
      </w:pPr>
      <w:r>
        <w:rPr>
          <w:b/>
          <w:sz w:val="24"/>
        </w:rPr>
        <w:t>HAWAII II 125-0 TRUST</w:t>
      </w:r>
    </w:p>
    <w:p>
      <w:pPr>
        <w:pStyle w:val="Normal"/>
        <w:widowControl/>
        <w:spacing w:lineRule="auto" w:line="240"/>
        <w:rPr>
          <w:b/>
          <w:sz w:val="24"/>
        </w:rPr>
      </w:pPr>
      <w:r>
        <w:rPr>
          <w:b/>
          <w:sz w:val="24"/>
        </w:rPr>
      </w:r>
    </w:p>
    <w:p>
      <w:pPr>
        <w:pStyle w:val="Normal"/>
        <w:widowControl/>
        <w:spacing w:lineRule="auto" w:line="240"/>
        <w:rPr>
          <w:sz w:val="24"/>
        </w:rPr>
      </w:pPr>
      <w:r>
        <w:rPr>
          <w:sz w:val="24"/>
        </w:rPr>
        <w:t>By:</w:t>
        <w:tab/>
        <w:t>WILMINGTON TRUST COMPANY,</w:t>
      </w:r>
    </w:p>
    <w:p>
      <w:pPr>
        <w:pStyle w:val="Normal"/>
        <w:widowControl/>
        <w:spacing w:lineRule="auto" w:line="240"/>
        <w:rPr>
          <w:sz w:val="24"/>
        </w:rPr>
      </w:pPr>
      <w:r>
        <w:rPr>
          <w:sz w:val="24"/>
        </w:rPr>
        <w:tab/>
        <w:t>not in its individual capacity</w:t>
      </w:r>
    </w:p>
    <w:p>
      <w:pPr>
        <w:pStyle w:val="Normal"/>
        <w:widowControl/>
        <w:spacing w:lineRule="auto" w:line="240"/>
        <w:rPr>
          <w:sz w:val="24"/>
        </w:rPr>
      </w:pPr>
      <w:r>
        <w:rPr>
          <w:sz w:val="24"/>
        </w:rPr>
        <w:tab/>
        <w:t>but solely as Owner Trustee</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tabs>
          <w:tab w:val="clear" w:pos="720"/>
          <w:tab w:val="right" w:pos="5040" w:leader="none"/>
        </w:tabs>
        <w:spacing w:lineRule="auto" w:line="240"/>
        <w:rPr>
          <w:sz w:val="24"/>
        </w:rPr>
      </w:pPr>
      <w:r>
        <w:rPr>
          <w:sz w:val="24"/>
        </w:rPr>
        <w:tab/>
        <w:t>By:</w:t>
      </w:r>
      <w:r>
        <w:rPr>
          <w:sz w:val="24"/>
          <w:u w:val="single"/>
        </w:rPr>
        <w:tab/>
      </w:r>
    </w:p>
    <w:p>
      <w:pPr>
        <w:pStyle w:val="Normal"/>
        <w:widowControl/>
        <w:tabs>
          <w:tab w:val="clear" w:pos="720"/>
          <w:tab w:val="right" w:pos="5040" w:leader="none"/>
        </w:tabs>
        <w:spacing w:lineRule="auto" w:line="240"/>
        <w:rPr>
          <w:sz w:val="24"/>
        </w:rPr>
      </w:pPr>
      <w:r>
        <w:rPr>
          <w:sz w:val="24"/>
        </w:rPr>
        <w:tab/>
        <w:t>Name:</w:t>
      </w:r>
      <w:r>
        <w:rPr>
          <w:sz w:val="24"/>
          <w:u w:val="single"/>
        </w:rPr>
        <w:tab/>
      </w:r>
    </w:p>
    <w:p>
      <w:pPr>
        <w:pStyle w:val="Normal"/>
        <w:widowControl/>
        <w:tabs>
          <w:tab w:val="clear" w:pos="720"/>
          <w:tab w:val="right" w:pos="5040" w:leader="none"/>
        </w:tabs>
        <w:spacing w:lineRule="auto" w:line="240"/>
        <w:rPr>
          <w:sz w:val="24"/>
        </w:rPr>
      </w:pPr>
      <w:r>
        <w:rPr>
          <w:sz w:val="24"/>
        </w:rPr>
        <w:tab/>
        <w:t>Title:</w:t>
      </w:r>
      <w:r>
        <w:rPr>
          <w:sz w:val="24"/>
          <w:u w:val="single"/>
        </w:rPr>
        <w:tab/>
      </w:r>
    </w:p>
    <w:p>
      <w:pPr>
        <w:pStyle w:val="Normal"/>
        <w:widowControl/>
        <w:spacing w:lineRule="auto" w:line="240"/>
        <w:rPr>
          <w:sz w:val="24"/>
        </w:rPr>
      </w:pPr>
      <w:r>
        <w:rPr>
          <w:sz w:val="24"/>
        </w:rPr>
      </w:r>
    </w:p>
    <w:p>
      <w:pPr>
        <w:sectPr>
          <w:type w:val="continuous"/>
          <w:pgSz w:w="12240" w:h="15840"/>
          <w:pgMar w:left="5760" w:right="1440" w:gutter="0" w:header="1440" w:top="1496" w:footer="1440" w:bottom="1920"/>
          <w:formProt w:val="false"/>
          <w:textDirection w:val="lrTb"/>
          <w:docGrid w:type="default" w:linePitch="360" w:charSpace="0"/>
        </w:sectPr>
      </w:pPr>
      <w:r>
        <w:br w:type="page"/>
      </w:r>
    </w:p>
    <w:p>
      <w:pPr>
        <w:pStyle w:val="Normal"/>
        <w:widowControl/>
        <w:spacing w:lineRule="auto" w:line="240"/>
        <w:ind w:end="0"/>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1860"/>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w="12240" w:h="15840"/>
          <w:pgMar w:left="1440" w:right="1440" w:gutter="0" w:header="1440" w:top="1920" w:footer="1440" w:bottom="1860"/>
          <w:formProt w:val="false"/>
          <w:textDirection w:val="lrTb"/>
          <w:docGrid w:type="default" w:linePitch="360" w:charSpace="0"/>
        </w:sectPr>
        <w:pStyle w:val="Normal"/>
        <w:widowControl/>
        <w:spacing w:lineRule="auto" w:line="480"/>
        <w:rPr>
          <w:sz w:val="24"/>
        </w:rPr>
      </w:pPr>
      <w:r>
        <w:rPr>
          <w:sz w:val="24"/>
        </w:rPr>
        <w:tab/>
        <w:tab/>
        <w:t xml:space="preserve">Enron Broadband Services, Inc. hereby acknowledges receipt of the above Notice of Assignment and confirms that in the event that and whenever the Trust delivers a Put Notice pursuant to the Put Option Agreement to Sponsor it will comply with the terms of Section 3 and Section 4 of the Put Option Agreement and will purchase Put Certificate Interests (as defined in the Put Option Agreement) from Asset LLC in accordance with the terms thereof. </w:t>
      </w:r>
      <w:r>
        <w:br w:type="page"/>
      </w:r>
    </w:p>
    <w:p>
      <w:pPr>
        <w:pStyle w:val="Normal"/>
        <w:widowControl/>
        <w:spacing w:lineRule="auto" w:line="48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pPr>
      <w:r>
        <w:rPr/>
      </w:r>
    </w:p>
    <w:p>
      <w:pPr>
        <w:pStyle w:val="Normal"/>
        <w:widowControl/>
        <w:spacing w:lineRule="auto" w:line="240"/>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spacing w:lineRule="auto" w:line="240"/>
        <w:ind w:end="0"/>
        <w:rPr>
          <w:b/>
        </w:rPr>
      </w:pPr>
      <w:r>
        <w:rPr>
          <w:b/>
        </w:rPr>
        <w:t>ENRON BROADBAND SERVICES, INC.,</w:t>
      </w:r>
    </w:p>
    <w:p>
      <w:pPr>
        <w:pStyle w:val="Normal"/>
        <w:widowControl/>
        <w:spacing w:lineRule="auto" w:line="240"/>
        <w:rPr/>
      </w:pPr>
      <w:r>
        <w:rPr/>
        <w:t>an Oregon corporation</w:t>
      </w:r>
    </w:p>
    <w:p>
      <w:pPr>
        <w:pStyle w:val="Normal"/>
        <w:widowControl/>
        <w:spacing w:lineRule="auto" w:line="240"/>
        <w:rPr/>
      </w:pPr>
      <w:r>
        <w:rPr/>
      </w:r>
    </w:p>
    <w:p>
      <w:pPr>
        <w:pStyle w:val="Normal"/>
        <w:widowControl/>
        <w:spacing w:lineRule="auto" w:line="240"/>
        <w:rPr/>
      </w:pPr>
      <w:r>
        <w:rPr/>
      </w:r>
    </w:p>
    <w:p>
      <w:pPr>
        <w:pStyle w:val="Normal"/>
        <w:widowControl/>
        <w:spacing w:lineRule="auto" w:line="240"/>
        <w:rPr/>
      </w:pPr>
      <w:r>
        <w:rPr/>
      </w:r>
    </w:p>
    <w:p>
      <w:pPr>
        <w:pStyle w:val="Normal"/>
        <w:widowControl/>
        <w:tabs>
          <w:tab w:val="clear" w:pos="720"/>
          <w:tab w:val="right" w:pos="5040" w:leader="none"/>
        </w:tabs>
        <w:spacing w:lineRule="auto" w:line="240"/>
        <w:rPr/>
      </w:pPr>
      <w:r>
        <w:rPr/>
        <w:t>By:</w:t>
      </w:r>
      <w:r>
        <w:rPr>
          <w:u w:val="single"/>
        </w:rPr>
        <w:tab/>
      </w:r>
    </w:p>
    <w:p>
      <w:pPr>
        <w:pStyle w:val="Normal"/>
        <w:widowControl/>
        <w:tabs>
          <w:tab w:val="clear" w:pos="720"/>
          <w:tab w:val="right" w:pos="5040" w:leader="none"/>
        </w:tabs>
        <w:spacing w:lineRule="auto" w:line="240"/>
        <w:rPr/>
      </w:pPr>
      <w:r>
        <w:rPr/>
        <w:t>Name:</w:t>
      </w:r>
      <w:r>
        <w:rPr>
          <w:u w:val="single"/>
        </w:rPr>
        <w:tab/>
      </w:r>
    </w:p>
    <w:p>
      <w:pPr>
        <w:pStyle w:val="Normal"/>
        <w:widowControl/>
        <w:tabs>
          <w:tab w:val="clear" w:pos="720"/>
          <w:tab w:val="right" w:pos="5040" w:leader="none"/>
        </w:tabs>
        <w:spacing w:lineRule="auto" w:line="240"/>
        <w:rPr/>
      </w:pPr>
      <w:r>
        <w:rPr/>
        <w:t>Title:</w:t>
      </w:r>
      <w:r>
        <w:rPr>
          <w:u w:val="single"/>
        </w:rPr>
        <w:tab/>
      </w:r>
    </w:p>
    <w:p>
      <w:pPr>
        <w:pStyle w:val="Normal"/>
        <w:widowControl/>
        <w:spacing w:lineRule="auto" w:line="240"/>
        <w:rPr/>
      </w:pPr>
      <w:r>
        <w:rPr/>
      </w:r>
    </w:p>
    <w:p>
      <w:pPr>
        <w:sectPr>
          <w:type w:val="continuous"/>
          <w:pgSz w:w="12240" w:h="15840"/>
          <w:pgMar w:left="5760" w:right="1440" w:gutter="0" w:header="1440" w:top="1496" w:footer="1440" w:bottom="1496"/>
          <w:formProt w:val="false"/>
          <w:textDirection w:val="lrTb"/>
          <w:docGrid w:type="default" w:linePitch="360" w:charSpace="0"/>
        </w:sectPr>
      </w:pP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spacing w:lineRule="auto" w:line="240"/>
        <w:ind w:end="0"/>
        <w:rPr/>
      </w:pPr>
      <w:r>
        <w:rPr/>
      </w:r>
      <w:r>
        <w:br w:type="page"/>
      </w:r>
    </w:p>
    <w:p>
      <w:pPr>
        <w:pStyle w:val="Normal"/>
        <w:widowControl/>
        <w:spacing w:lineRule="auto" w:line="240"/>
        <w:rPr/>
      </w:pPr>
      <w:r>
        <w:rPr/>
        <w:t xml:space="preserve">This redlined draft, generated by CompareRite (TM) - The Instant Redliner, shows the differences between - </w:t>
      </w:r>
    </w:p>
    <w:p>
      <w:pPr>
        <w:pStyle w:val="Normal"/>
        <w:widowControl/>
        <w:spacing w:lineRule="auto" w:line="240"/>
        <w:rPr/>
      </w:pPr>
      <w:r>
        <w:rPr/>
        <w:t>original document   : C:\DOCUME~1\MOORCH\LOCALS~1\TEMP\DAL_271679_1</w:t>
      </w:r>
    </w:p>
    <w:p>
      <w:pPr>
        <w:pStyle w:val="Normal"/>
        <w:widowControl/>
        <w:spacing w:lineRule="auto" w:line="240"/>
        <w:rPr/>
      </w:pPr>
      <w:r>
        <w:rPr/>
        <w:t>and revised document: C:\DOCUME~1\MOORCH\LOCALS~1\TEMP\DAL_271679_2</w:t>
      </w:r>
    </w:p>
    <w:p>
      <w:pPr>
        <w:pStyle w:val="Normal"/>
        <w:widowControl/>
        <w:spacing w:lineRule="auto" w:line="240"/>
        <w:rPr/>
      </w:pPr>
      <w:r>
        <w:rPr/>
      </w:r>
    </w:p>
    <w:p>
      <w:pPr>
        <w:pStyle w:val="Normal"/>
        <w:widowControl/>
        <w:spacing w:lineRule="auto" w:line="240"/>
        <w:rPr/>
      </w:pPr>
      <w:r>
        <w:rPr/>
        <w:t>CompareRite found    1 change(s) in the text</w:t>
      </w:r>
    </w:p>
    <w:p>
      <w:pPr>
        <w:pStyle w:val="Normal"/>
        <w:widowControl/>
        <w:spacing w:lineRule="auto" w:line="240"/>
        <w:rPr/>
      </w:pPr>
      <w:r>
        <w:rPr/>
      </w:r>
    </w:p>
    <w:p>
      <w:pPr>
        <w:pStyle w:val="Normal"/>
        <w:widowControl/>
        <w:spacing w:lineRule="auto" w:line="240"/>
        <w:rPr/>
      </w:pPr>
      <w:r>
        <w:rPr/>
        <w:t xml:space="preserve">Deletions appear as Strikethrough text </w:t>
      </w:r>
    </w:p>
    <w:p>
      <w:pPr>
        <w:pStyle w:val="Normal"/>
        <w:widowControl/>
        <w:spacing w:lineRule="atLeast" w:line="0" w:before="0" w:after="0"/>
        <w:rPr/>
      </w:pPr>
      <w:r>
        <w:rPr/>
        <w:t xml:space="preserve">Additions appear as Bold+Dbl Underline text </w:t>
      </w:r>
    </w:p>
    <w:sectPr>
      <w:headerReference w:type="even" r:id="rId14"/>
      <w:headerReference w:type="default" r:id="rId15"/>
      <w:footerReference w:type="even" r:id="rId16"/>
      <w:footerReference w:type="default" r:id="rId17"/>
      <w:type w:val="nextPage"/>
      <w:pgSz w:w="12240" w:h="15840"/>
      <w:pgMar w:left="1440" w:right="1440" w:gutter="0" w:header="1440" w:top="1920" w:footer="1440" w:bottom="18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DAL:271679.2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DAL:271679.2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