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6.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r>
      <w:r>
        <w:rPr>
          <w:b/>
          <w:sz w:val="24"/>
        </w:rPr>
        <w:tab/>
        <w:t>PUT OPTION AGREEMENT</w:t>
      </w:r>
    </w:p>
    <w:p>
      <w:pPr>
        <w:pStyle w:val="Normal"/>
        <w:widowControl/>
        <w:rPr>
          <w:sz w:val="24"/>
        </w:rPr>
      </w:pPr>
      <w:r>
        <w:rPr>
          <w:sz w:val="24"/>
        </w:rPr>
      </w:r>
    </w:p>
    <w:p>
      <w:pPr>
        <w:pStyle w:val="Normal"/>
        <w:widowControl/>
        <w:rPr>
          <w:sz w:val="24"/>
        </w:rPr>
      </w:pPr>
      <w:r>
        <w:rPr>
          <w:sz w:val="24"/>
        </w:rPr>
      </w:r>
    </w:p>
    <w:p>
      <w:pPr>
        <w:pStyle w:val="Normal"/>
        <w:widowControl/>
        <w:rPr/>
      </w:pPr>
      <w:r>
        <w:rPr>
          <w:sz w:val="24"/>
        </w:rPr>
        <w:tab/>
        <w:t xml:space="preserve">This Put Option Agreement, dated as of December </w:t>
      </w:r>
      <w:r>
        <w:rPr>
          <w:strike/>
          <w:color w:val="FF0000"/>
          <w:sz w:val="24"/>
        </w:rPr>
        <w:t>___</w:t>
      </w:r>
      <w:r>
        <w:rPr>
          <w:b/>
          <w:color w:val="FF0000"/>
          <w:sz w:val="24"/>
          <w:u w:val="double"/>
        </w:rPr>
        <w:t>15</w:t>
      </w:r>
      <w:r>
        <w:rPr>
          <w:sz w:val="24"/>
        </w:rPr>
        <w:t>, 2000 (this “</w:t>
      </w:r>
      <w:r>
        <w:rPr>
          <w:i/>
          <w:sz w:val="24"/>
        </w:rPr>
        <w:t>Agreement</w:t>
      </w:r>
      <w:r>
        <w:rPr>
          <w:sz w:val="24"/>
        </w:rPr>
        <w:t>”), is executed by and between Enron Broadband Services, Inc., an Oregon corporation (“</w:t>
      </w:r>
      <w:r>
        <w:rPr>
          <w:i/>
          <w:sz w:val="24"/>
        </w:rPr>
        <w:t>EBS</w:t>
      </w:r>
      <w:r>
        <w:rPr>
          <w:sz w:val="24"/>
        </w:rPr>
        <w:t>”) and McGarret VIII, L.L.C., a Delaware limited liability company (“</w:t>
      </w:r>
      <w:r>
        <w:rPr>
          <w:i/>
          <w:sz w:val="24"/>
        </w:rPr>
        <w:t>Asset LLC</w:t>
      </w:r>
      <w:r>
        <w:rPr>
          <w:sz w:val="24"/>
        </w:rPr>
        <w:t>”).</w:t>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u w:val="single"/>
        </w:rPr>
        <w:t>Recital</w:t>
      </w:r>
    </w:p>
    <w:p>
      <w:pPr>
        <w:pStyle w:val="Normal"/>
        <w:widowControl/>
        <w:rPr>
          <w:sz w:val="24"/>
        </w:rPr>
      </w:pPr>
      <w:r>
        <w:rPr>
          <w:sz w:val="24"/>
        </w:rPr>
      </w:r>
    </w:p>
    <w:p>
      <w:pPr>
        <w:pStyle w:val="Normal"/>
        <w:widowControl/>
        <w:rPr/>
      </w:pPr>
      <w:r>
        <w:rPr>
          <w:sz w:val="24"/>
        </w:rPr>
        <w:tab/>
        <w:t>Pursuant to a Membership Interest Assignment and Ratification Agreement dated the date hereof and executed by EBS, EBS has contributed, assigned and transferred to Asset LLC 10,050 Class B Membership Interests (the “Assets”), in EBS Content Systems, LLC, a Delaware limited liability company, which represents a 79.5</w:t>
      </w:r>
      <w:r>
        <w:rPr>
          <w:b/>
          <w:sz w:val="24"/>
        </w:rPr>
        <w:t xml:space="preserve"> </w:t>
      </w:r>
      <w:r>
        <w:rPr>
          <w:sz w:val="24"/>
        </w:rPr>
        <w:t xml:space="preserve">% economic, non-voting interest in such entity.  Subject to and upon the terms and conditions herein set forth, EBS has agreed to purchase a portion of such Membership Interests from time to time. </w:t>
      </w:r>
    </w:p>
    <w:p>
      <w:pPr>
        <w:pStyle w:val="Normal"/>
        <w:widowControl/>
        <w:rPr>
          <w:sz w:val="24"/>
        </w:rPr>
      </w:pPr>
      <w:r>
        <w:rPr>
          <w:sz w:val="24"/>
        </w:rPr>
      </w:r>
    </w:p>
    <w:p>
      <w:pPr>
        <w:pStyle w:val="Normal"/>
        <w:widowControl/>
        <w:tabs>
          <w:tab w:val="clear" w:pos="720"/>
          <w:tab w:val="center" w:pos="4680" w:leader="none"/>
        </w:tabs>
        <w:rPr>
          <w:sz w:val="24"/>
        </w:rPr>
      </w:pPr>
      <w:r>
        <w:rPr>
          <w:sz w:val="24"/>
        </w:rPr>
        <w:t xml:space="preserve"> </w:t>
      </w:r>
      <w:r>
        <w:rPr>
          <w:sz w:val="24"/>
        </w:rPr>
        <w:tab/>
      </w:r>
      <w:r>
        <w:rPr>
          <w:b/>
          <w:sz w:val="24"/>
          <w:u w:val="single"/>
        </w:rPr>
        <w:t>Operative Provisions</w:t>
      </w:r>
    </w:p>
    <w:p>
      <w:pPr>
        <w:pStyle w:val="Normal"/>
        <w:widowControl/>
        <w:rPr>
          <w:sz w:val="24"/>
        </w:rPr>
      </w:pPr>
      <w:r>
        <w:rPr>
          <w:sz w:val="24"/>
        </w:rPr>
      </w:r>
    </w:p>
    <w:p>
      <w:pPr>
        <w:pStyle w:val="Normal"/>
        <w:widowControl/>
        <w:rPr>
          <w:sz w:val="24"/>
        </w:rPr>
      </w:pPr>
      <w:r>
        <w:rPr>
          <w:sz w:val="24"/>
        </w:rPr>
        <w:tab/>
        <w:t>For good and valuable consideration, the receipt and sufficiency of which are hereby acknowledged, EBS and Asset LLC hereby agree as follows:</w:t>
      </w:r>
    </w:p>
    <w:p>
      <w:pPr>
        <w:pStyle w:val="Normal"/>
        <w:widowControl/>
        <w:rPr>
          <w:sz w:val="24"/>
        </w:rPr>
      </w:pPr>
      <w:r>
        <w:rPr>
          <w:sz w:val="24"/>
        </w:rPr>
      </w:r>
    </w:p>
    <w:p>
      <w:pPr>
        <w:pStyle w:val="Normal"/>
        <w:widowControl/>
        <w:rPr/>
      </w:pPr>
      <w:r>
        <w:rPr>
          <w:sz w:val="24"/>
        </w:rPr>
        <w:tab/>
      </w:r>
      <w:r>
        <w:rPr>
          <w:b/>
          <w:sz w:val="24"/>
        </w:rPr>
        <w:t>Section 1.</w:t>
        <w:tab/>
      </w:r>
      <w:r>
        <w:rPr>
          <w:b/>
          <w:sz w:val="24"/>
          <w:u w:val="single"/>
        </w:rPr>
        <w:t>Definitions</w:t>
      </w:r>
      <w:r>
        <w:rPr>
          <w:b/>
          <w:sz w:val="24"/>
        </w:rPr>
        <w:t>.</w:t>
      </w:r>
      <w:r>
        <w:rPr>
          <w:sz w:val="24"/>
        </w:rPr>
        <w:t xml:space="preserve">   Capitalized terms used and not defined herein shall have the meanings given to those terms in the Facility Agreement.  As used in this Agreement, the following terms have the respective meanings set forth below:</w:t>
      </w:r>
    </w:p>
    <w:p>
      <w:pPr>
        <w:pStyle w:val="Normal"/>
        <w:widowControl/>
        <w:rPr>
          <w:sz w:val="24"/>
        </w:rPr>
      </w:pPr>
      <w:r>
        <w:rPr>
          <w:sz w:val="24"/>
        </w:rPr>
      </w:r>
    </w:p>
    <w:p>
      <w:pPr>
        <w:pStyle w:val="Normal"/>
        <w:widowControl/>
        <w:rPr/>
      </w:pPr>
      <w:r>
        <w:rPr>
          <w:sz w:val="24"/>
        </w:rPr>
        <w:tab/>
      </w:r>
      <w:r>
        <w:rPr>
          <w:i/>
          <w:sz w:val="24"/>
        </w:rPr>
        <w:t>“</w:t>
      </w:r>
      <w:r>
        <w:rPr>
          <w:i/>
          <w:sz w:val="24"/>
          <w:u w:val="single"/>
        </w:rPr>
        <w:t>Assets</w:t>
      </w:r>
      <w:r>
        <w:rPr>
          <w:i/>
          <w:sz w:val="24"/>
        </w:rPr>
        <w:t>”</w:t>
      </w:r>
      <w:r>
        <w:rPr>
          <w:sz w:val="24"/>
        </w:rPr>
        <w:t xml:space="preserve"> shall have the meaning given to that term in the Recital hereto.</w:t>
      </w:r>
    </w:p>
    <w:p>
      <w:pPr>
        <w:pStyle w:val="Normal"/>
        <w:widowControl/>
        <w:rPr>
          <w:sz w:val="24"/>
        </w:rPr>
      </w:pPr>
      <w:r>
        <w:rPr>
          <w:sz w:val="24"/>
        </w:rPr>
      </w:r>
    </w:p>
    <w:p>
      <w:pPr>
        <w:pStyle w:val="Normal"/>
        <w:widowControl/>
        <w:rPr/>
      </w:pPr>
      <w:r>
        <w:rPr>
          <w:sz w:val="24"/>
        </w:rPr>
        <w:tab/>
        <w:t>“</w:t>
      </w:r>
      <w:r>
        <w:rPr>
          <w:i/>
          <w:sz w:val="24"/>
          <w:u w:val="single"/>
        </w:rPr>
        <w:t>Facility Agreement</w:t>
      </w:r>
      <w:r>
        <w:rPr>
          <w:sz w:val="24"/>
        </w:rPr>
        <w:t>” shall mean that certain Facility Agreement dated November 20, 2000 and executed by the Trust as issuer of the Notes, Canadian Imperial Bank of Commerce, as Agent and the other financial institutions named therein as the same may be amended or supplemented from time to time.</w:t>
      </w:r>
    </w:p>
    <w:p>
      <w:pPr>
        <w:pStyle w:val="Normal"/>
        <w:widowControl/>
        <w:rPr>
          <w:sz w:val="24"/>
        </w:rPr>
      </w:pPr>
      <w:r>
        <w:rPr>
          <w:sz w:val="24"/>
        </w:rPr>
      </w:r>
    </w:p>
    <w:p>
      <w:pPr>
        <w:pStyle w:val="Normal"/>
        <w:widowControl/>
        <w:rPr/>
      </w:pPr>
      <w:r>
        <w:rPr>
          <w:sz w:val="24"/>
        </w:rPr>
        <w:tab/>
        <w:t>“</w:t>
      </w:r>
      <w:r>
        <w:rPr>
          <w:i/>
          <w:sz w:val="24"/>
          <w:u w:val="single"/>
        </w:rPr>
        <w:t>Payment Date</w:t>
      </w:r>
      <w:r>
        <w:rPr>
          <w:sz w:val="24"/>
        </w:rPr>
        <w:t>” shall have the same meaning as “Applicable Payment Date” set forth in the Total Return Swap Agreement.</w:t>
      </w:r>
    </w:p>
    <w:p>
      <w:pPr>
        <w:pStyle w:val="Normal"/>
        <w:widowControl/>
        <w:rPr>
          <w:sz w:val="24"/>
        </w:rPr>
      </w:pPr>
      <w:r>
        <w:rPr>
          <w:sz w:val="24"/>
        </w:rPr>
      </w:r>
    </w:p>
    <w:p>
      <w:pPr>
        <w:pStyle w:val="Normal"/>
        <w:widowControl/>
        <w:rPr/>
      </w:pPr>
      <w:r>
        <w:rPr>
          <w:sz w:val="24"/>
        </w:rPr>
        <w:tab/>
        <w:t>“</w:t>
      </w:r>
      <w:r>
        <w:rPr>
          <w:i/>
          <w:sz w:val="24"/>
          <w:u w:val="single"/>
        </w:rPr>
        <w:t>Principal Put Notice</w:t>
      </w:r>
      <w:r>
        <w:rPr>
          <w:sz w:val="24"/>
        </w:rPr>
        <w:t>” shall have the meaning given to such term in Section 2 hereof.</w:t>
      </w:r>
    </w:p>
    <w:p>
      <w:pPr>
        <w:pStyle w:val="Normal"/>
        <w:widowControl/>
        <w:rPr>
          <w:sz w:val="24"/>
        </w:rPr>
      </w:pPr>
      <w:r>
        <w:rPr>
          <w:sz w:val="24"/>
        </w:rPr>
      </w:r>
    </w:p>
    <w:p>
      <w:pPr>
        <w:pStyle w:val="Normal"/>
        <w:widowControl/>
        <w:rPr/>
      </w:pPr>
      <w:r>
        <w:rPr>
          <w:sz w:val="24"/>
        </w:rPr>
        <w:tab/>
        <w:t>“</w:t>
      </w:r>
      <w:r>
        <w:rPr>
          <w:i/>
          <w:sz w:val="24"/>
          <w:u w:val="single"/>
        </w:rPr>
        <w:t>Purchase Price</w:t>
      </w:r>
      <w:r>
        <w:rPr>
          <w:sz w:val="24"/>
        </w:rPr>
        <w:t>” shall have the meaning set forth in Section 3 hereof.</w:t>
      </w:r>
    </w:p>
    <w:p>
      <w:pPr>
        <w:pStyle w:val="Normal"/>
        <w:widowControl/>
        <w:rPr>
          <w:sz w:val="24"/>
        </w:rPr>
      </w:pPr>
      <w:r>
        <w:rPr>
          <w:sz w:val="24"/>
        </w:rPr>
      </w:r>
    </w:p>
    <w:p>
      <w:pPr>
        <w:pStyle w:val="Normal"/>
        <w:widowControl/>
        <w:rPr/>
      </w:pPr>
      <w:r>
        <w:rPr>
          <w:sz w:val="24"/>
        </w:rPr>
        <w:tab/>
      </w:r>
      <w:r>
        <w:rPr>
          <w:i/>
          <w:sz w:val="24"/>
        </w:rPr>
        <w:t>“</w:t>
      </w:r>
      <w:r>
        <w:rPr>
          <w:i/>
          <w:sz w:val="24"/>
          <w:u w:val="single"/>
        </w:rPr>
        <w:t>Put Membership Interest</w:t>
      </w:r>
      <w:r>
        <w:rPr>
          <w:i/>
          <w:sz w:val="24"/>
        </w:rPr>
        <w:t>”</w:t>
      </w:r>
      <w:r>
        <w:rPr>
          <w:sz w:val="24"/>
        </w:rPr>
        <w:t xml:space="preserve"> shall mean an undivided interest in 1 % of the Assets.</w:t>
      </w:r>
    </w:p>
    <w:p>
      <w:pPr>
        <w:pStyle w:val="Normal"/>
        <w:widowControl/>
        <w:rPr>
          <w:sz w:val="24"/>
        </w:rPr>
      </w:pPr>
      <w:r>
        <w:rPr>
          <w:sz w:val="24"/>
        </w:rPr>
      </w:r>
    </w:p>
    <w:p>
      <w:pPr>
        <w:pStyle w:val="Normal"/>
        <w:widowControl/>
        <w:rPr/>
      </w:pPr>
      <w:r>
        <w:rPr>
          <w:sz w:val="24"/>
        </w:rPr>
        <w:tab/>
        <w:t>“</w:t>
      </w:r>
      <w:r>
        <w:rPr>
          <w:i/>
          <w:sz w:val="24"/>
          <w:u w:val="single"/>
        </w:rPr>
        <w:t>Put Notice</w:t>
      </w:r>
      <w:r>
        <w:rPr>
          <w:sz w:val="24"/>
        </w:rPr>
        <w:t>” means, with respect to any Payment Date, a notice duly executed on behalf of Asset LLC or its assignee in substantially the form of Schedule I hereto, whereby Asset LLC or its assignee requires EBS to purchase Put Membership Interests from Asset LLC on such Payment Date on the terms of this Put Option Agreement.</w:t>
      </w:r>
    </w:p>
    <w:p>
      <w:pPr>
        <w:pStyle w:val="Normal"/>
        <w:widowControl/>
        <w:rPr>
          <w:sz w:val="24"/>
        </w:rPr>
      </w:pPr>
      <w:r>
        <w:rPr>
          <w:sz w:val="24"/>
        </w:rPr>
      </w:r>
    </w:p>
    <w:p>
      <w:pPr>
        <w:pStyle w:val="Normal"/>
        <w:widowControl/>
        <w:rPr/>
      </w:pPr>
      <w:r>
        <w:rPr>
          <w:sz w:val="24"/>
        </w:rPr>
        <w:tab/>
      </w:r>
      <w:r>
        <w:rPr>
          <w:b/>
          <w:sz w:val="24"/>
        </w:rPr>
        <w:t>Section 2.</w:t>
        <w:tab/>
      </w:r>
      <w:r>
        <w:rPr>
          <w:b/>
          <w:sz w:val="24"/>
          <w:u w:val="single"/>
        </w:rPr>
        <w:t>Purchase of Put Membership Interests</w:t>
      </w:r>
      <w:r>
        <w:rPr>
          <w:b/>
          <w:sz w:val="24"/>
        </w:rPr>
        <w:t>.</w:t>
      </w:r>
      <w:r>
        <w:rPr>
          <w:sz w:val="24"/>
        </w:rPr>
        <w:t xml:space="preserve">  Asset LLC shall have the right but not the obligation to require EBS to purchase Put Membership Interests from Asset LLC on any Payment Date in accordance with the terms of this Agreement.  In the event that Asset LLC elects to require EBS to repurchase Put Membership Interests on any Payment Date, Asset LLC shall deliver a Put Notice to EBS not later than seven Business Days prior to such Payment Date provided that (i) in the event that the obligations of the Trust under the Notes are accelerated under the terms of the Facility Agreement, Asset LLC may deliver a Put Notice at any time on or before the date of such acceleration and (ii) any Put Notice with respect to the Payment Date falling on November 19, 2002 shall be delivered on or before September 30, 2002 (the “</w:t>
      </w:r>
      <w:r>
        <w:rPr>
          <w:i/>
          <w:sz w:val="24"/>
        </w:rPr>
        <w:t>Principal Put Notice</w:t>
      </w:r>
      <w:r>
        <w:rPr>
          <w:sz w:val="24"/>
        </w:rPr>
        <w:t>”).  Delivery of the Principal Put Notice shall have the effect of signifying that Asset LLC has irrevocably elected to require EBS to repurchase Put Membership Interests on each remaining Payment Date beginning November 19, 2002.  The number of Put Certificate Interest(s) specified in each Put Notice may not exceed the number of Put Membership Interests which produces an aggregate purchase price equal to the total of all amounts payable by the Trust to the Lenders on the applicable Payment Date plus $_____.  Any Put Notice delivered by Asset LLC shall be irrevocable.  On any Payment Date with respect to which a Put Notice has been delivered as provided above, Asset LLC shall sell, assign and transfer to EBS the number of Put Interest(s) specified in such Put Notice pursuant to a Membership Interest Assignment and Ratification Agreement substantially in the form of Schedule II hereto, and EBS shall pay to Asset LLC the applicable Purchase Price.  Only one Put Notice for each Payment Date may be delivered by Asset LLC hereunder, and the aggregate number of Put Membership Interests which EBS may be required to purchase hereunder shall not exceed 97% of the Assets.</w:t>
      </w:r>
    </w:p>
    <w:p>
      <w:pPr>
        <w:pStyle w:val="Normal"/>
        <w:widowControl/>
        <w:rPr>
          <w:sz w:val="24"/>
        </w:rPr>
      </w:pPr>
      <w:r>
        <w:rPr>
          <w:sz w:val="24"/>
        </w:rPr>
      </w:r>
    </w:p>
    <w:p>
      <w:pPr>
        <w:pStyle w:val="Normal"/>
        <w:widowControl/>
        <w:rPr/>
      </w:pPr>
      <w:r>
        <w:rPr>
          <w:sz w:val="24"/>
        </w:rPr>
        <w:tab/>
      </w:r>
      <w:r>
        <w:rPr>
          <w:b/>
          <w:sz w:val="24"/>
        </w:rPr>
        <w:t>Section 3.</w:t>
        <w:tab/>
      </w:r>
      <w:r>
        <w:rPr>
          <w:b/>
          <w:sz w:val="24"/>
          <w:u w:val="single"/>
        </w:rPr>
        <w:t>Purchase Price</w:t>
      </w:r>
      <w:r>
        <w:rPr>
          <w:b/>
          <w:sz w:val="24"/>
        </w:rPr>
        <w:t>.</w:t>
      </w:r>
      <w:r>
        <w:rPr>
          <w:sz w:val="24"/>
        </w:rPr>
        <w:t xml:space="preserve">  The Purchase Price for each Put Membership Interest to be purchased by EBS on any Payment Date in respect of which a Put Notice has been delivered shall be equal to $_____ (____________ Dollars) and shall be paid on the applicable Payment Date in immediately available funds. </w:t>
      </w:r>
    </w:p>
    <w:p>
      <w:pPr>
        <w:pStyle w:val="Normal"/>
        <w:widowControl/>
        <w:rPr>
          <w:sz w:val="24"/>
        </w:rPr>
      </w:pPr>
      <w:r>
        <w:rPr>
          <w:sz w:val="24"/>
        </w:rPr>
      </w:r>
    </w:p>
    <w:p>
      <w:pPr>
        <w:pStyle w:val="Normal"/>
        <w:widowControl/>
        <w:rPr/>
      </w:pPr>
      <w:r>
        <w:rPr>
          <w:sz w:val="24"/>
        </w:rPr>
        <w:tab/>
      </w:r>
      <w:r>
        <w:rPr>
          <w:b/>
          <w:sz w:val="24"/>
        </w:rPr>
        <w:t>Section 4.</w:t>
        <w:tab/>
      </w:r>
      <w:r>
        <w:rPr>
          <w:b/>
          <w:sz w:val="24"/>
          <w:u w:val="single"/>
        </w:rPr>
        <w:t>Warranty</w:t>
      </w:r>
      <w:r>
        <w:rPr>
          <w:b/>
          <w:sz w:val="24"/>
        </w:rPr>
        <w:t>.</w:t>
      </w:r>
      <w:r>
        <w:rPr>
          <w:sz w:val="24"/>
        </w:rPr>
        <w:t xml:space="preserve">  By delivering a Put Notice, Asset LLC shall be deemed to warrant to EBS that, as of the date of delivery of such Put Notice and as of the relevant Payment Date, Asset LLC holds good title to the Put Membership Interests to be sold to EBS pursuant to such Put Notice and that there exists no mortgage, pledge, security interest, encumbrance, lien or charge of any kind over such Put Membership Interests by, through or under Asset LLC.</w:t>
      </w:r>
    </w:p>
    <w:p>
      <w:pPr>
        <w:pStyle w:val="Normal"/>
        <w:widowControl/>
        <w:rPr>
          <w:sz w:val="24"/>
        </w:rPr>
      </w:pPr>
      <w:r>
        <w:rPr>
          <w:sz w:val="24"/>
        </w:rPr>
      </w:r>
    </w:p>
    <w:p>
      <w:pPr>
        <w:pStyle w:val="Normal"/>
        <w:widowControl/>
        <w:rPr/>
      </w:pPr>
      <w:r>
        <w:rPr>
          <w:sz w:val="24"/>
        </w:rPr>
        <w:tab/>
      </w:r>
      <w:r>
        <w:rPr>
          <w:b/>
          <w:sz w:val="24"/>
        </w:rPr>
        <w:t>Section 5.</w:t>
        <w:tab/>
      </w:r>
      <w:r>
        <w:rPr>
          <w:b/>
          <w:sz w:val="24"/>
          <w:u w:val="single"/>
        </w:rPr>
        <w:t>Notices</w:t>
      </w:r>
      <w:r>
        <w:rPr>
          <w:b/>
          <w:sz w:val="24"/>
        </w:rPr>
        <w:t>.</w:t>
      </w:r>
      <w:r>
        <w:rPr>
          <w:sz w:val="24"/>
        </w:rPr>
        <w:t xml:space="preserve">  Any notices to be given by either party hereunder may be validly  served in accordance with the procedure set forth in Section 12.02 of the Asset LLC Agreement.</w:t>
      </w:r>
    </w:p>
    <w:p>
      <w:pPr>
        <w:pStyle w:val="Normal"/>
        <w:widowControl/>
        <w:rPr>
          <w:sz w:val="24"/>
        </w:rPr>
      </w:pPr>
      <w:r>
        <w:rPr>
          <w:sz w:val="24"/>
        </w:rPr>
      </w:r>
    </w:p>
    <w:p>
      <w:pPr>
        <w:pStyle w:val="Normal"/>
        <w:widowControl/>
        <w:rPr/>
      </w:pPr>
      <w:r>
        <w:rPr>
          <w:sz w:val="24"/>
        </w:rPr>
        <w:tab/>
      </w:r>
      <w:r>
        <w:rPr>
          <w:b/>
          <w:sz w:val="24"/>
        </w:rPr>
        <w:t>Section 6.</w:t>
        <w:tab/>
      </w:r>
      <w:r>
        <w:rPr>
          <w:b/>
          <w:sz w:val="24"/>
          <w:u w:val="single"/>
        </w:rPr>
        <w:t>Assignment</w:t>
      </w:r>
      <w:r>
        <w:rPr>
          <w:sz w:val="24"/>
        </w:rPr>
        <w:t>.  EBS acknowledges and agrees that Asset LLC may assign its rights to deliver Put Option Notices under Section 2 hereof to the ultimate owner of in excess of 51% of the economic interest in Asset LLC, which as of the date of this agreement is the Trust.  Following receipt of a written notice from Asset LLC that it has assigned its rights to deliver a Put Notice hereunder, any Put Notice delivered by such assignee shall be binding upon EBS and Asset LLC.</w:t>
      </w:r>
    </w:p>
    <w:p>
      <w:pPr>
        <w:pStyle w:val="Normal"/>
        <w:widowControl/>
        <w:rPr>
          <w:sz w:val="24"/>
        </w:rPr>
      </w:pPr>
      <w:r>
        <w:rPr>
          <w:sz w:val="24"/>
        </w:rPr>
      </w:r>
    </w:p>
    <w:p>
      <w:pPr>
        <w:pStyle w:val="Normal"/>
        <w:widowControl/>
        <w:rPr/>
      </w:pPr>
      <w:r>
        <w:rPr>
          <w:sz w:val="24"/>
        </w:rPr>
        <w:tab/>
      </w:r>
      <w:r>
        <w:rPr>
          <w:b/>
          <w:sz w:val="24"/>
        </w:rPr>
        <w:t>Section 7.</w:t>
        <w:tab/>
      </w:r>
      <w:r>
        <w:rPr>
          <w:b/>
          <w:sz w:val="24"/>
          <w:u w:val="single"/>
        </w:rPr>
        <w:t>Amendment; Third Party Beneficiary</w:t>
      </w:r>
      <w:r>
        <w:rPr>
          <w:b/>
          <w:sz w:val="24"/>
        </w:rPr>
        <w:t>.</w:t>
      </w:r>
      <w:r>
        <w:rPr>
          <w:sz w:val="24"/>
        </w:rPr>
        <w:t xml:space="preserve">  No amendment or waiver of any provisions of this Put Option Agreement shall be effective unless the same shall be executed in writing by the parties and the Trust.  The Trust is an intended third party beneficiary of this Agreement.</w:t>
      </w:r>
    </w:p>
    <w:p>
      <w:pPr>
        <w:pStyle w:val="Normal"/>
        <w:widowControl/>
        <w:rPr/>
      </w:pPr>
      <w:r>
        <w:rPr>
          <w:sz w:val="24"/>
        </w:rPr>
        <w:tab/>
      </w:r>
      <w:r>
        <w:rPr>
          <w:b/>
          <w:sz w:val="24"/>
        </w:rPr>
        <w:t>Section 8.</w:t>
        <w:tab/>
      </w:r>
      <w:r>
        <w:rPr>
          <w:b/>
          <w:sz w:val="24"/>
          <w:u w:val="single"/>
        </w:rPr>
        <w:t>Law</w:t>
      </w:r>
      <w:r>
        <w:rPr>
          <w:sz w:val="24"/>
        </w:rPr>
        <w:t>.  This Agreement shall be governed by and construed in accordance with the laws of the State of Texas.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[Remainder of Page Intentionally Left Blank]</w:t>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720" w:bottom="1200"/>
          <w:pgNumType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IN WITNESS WHEREOF, the parties named herein have caused this Agreement to be duly executed by its officer hereunto duly authorized, on the day and year first above written.</w:t>
      </w:r>
    </w:p>
    <w:p>
      <w:pPr>
        <w:pStyle w:val="Normal"/>
        <w:widowControl/>
        <w:rPr>
          <w:sz w:val="24"/>
        </w:rPr>
      </w:pPr>
      <w:r>
        <w:rPr>
          <w:sz w:val="24"/>
        </w:rPr>
      </w:r>
    </w:p>
    <w:p>
      <w:pPr>
        <w:pStyle w:val="Normal"/>
        <w:widowControl/>
        <w:rPr>
          <w:sz w:val="24"/>
        </w:rPr>
      </w:pPr>
      <w:r>
        <w:rPr>
          <w:sz w:val="24"/>
        </w:rPr>
      </w:r>
    </w:p>
    <w:p>
      <w:pPr>
        <w:pStyle w:val="Normal"/>
        <w:keepNext w:val="true"/>
        <w:keepLines/>
        <w:widowControl/>
        <w:ind w:start="5040" w:end="0"/>
        <w:rPr>
          <w:b/>
          <w:sz w:val="24"/>
        </w:rPr>
      </w:pPr>
      <w:r>
        <w:rPr>
          <w:b/>
          <w:sz w:val="24"/>
        </w:rPr>
        <w:t>ENRON BROADBAND SERVICES, INC.</w:t>
      </w:r>
      <w:r>
        <w:rPr>
          <w:sz w:val="24"/>
        </w:rPr>
        <w:t>,</w:t>
      </w:r>
    </w:p>
    <w:p>
      <w:pPr>
        <w:pStyle w:val="Normal"/>
        <w:keepNext w:val="true"/>
        <w:keepLines/>
        <w:widowControl/>
        <w:rPr/>
      </w:pPr>
      <w:r>
        <w:rPr>
          <w:b/>
          <w:sz w:val="24"/>
        </w:rPr>
        <w:tab/>
        <w:tab/>
        <w:tab/>
        <w:tab/>
        <w:tab/>
        <w:tab/>
        <w:tab/>
      </w:r>
      <w:r>
        <w:rPr>
          <w:sz w:val="24"/>
        </w:rPr>
        <w:t>an Oregon corporation</w:t>
      </w:r>
    </w:p>
    <w:p>
      <w:pPr>
        <w:pStyle w:val="Normal"/>
        <w:keepNext w:val="true"/>
        <w:keepLines/>
        <w:widowControl/>
        <w:rPr>
          <w:sz w:val="24"/>
        </w:rPr>
      </w:pPr>
      <w:r>
        <w:rPr>
          <w:sz w:val="24"/>
        </w:rPr>
      </w:r>
    </w:p>
    <w:p>
      <w:pPr>
        <w:pStyle w:val="Normal"/>
        <w:keepNext w:val="true"/>
        <w:keepLines/>
        <w:widowControl/>
        <w:rPr>
          <w:sz w:val="24"/>
        </w:rPr>
      </w:pPr>
      <w:r>
        <w:rPr>
          <w:sz w:val="24"/>
        </w:rPr>
      </w:r>
    </w:p>
    <w:p>
      <w:pPr>
        <w:pStyle w:val="Normal"/>
        <w:keepNext w:val="true"/>
        <w:keepLines/>
        <w:widowControl/>
        <w:tabs>
          <w:tab w:val="clear" w:pos="720"/>
          <w:tab w:val="right" w:pos="9360" w:leader="none"/>
        </w:tabs>
        <w:rPr>
          <w:sz w:val="24"/>
        </w:rPr>
      </w:pPr>
      <w:r>
        <w:rPr>
          <w:sz w:val="24"/>
        </w:rPr>
        <w:tab/>
        <w:tab/>
        <w:tab/>
        <w:tab/>
        <w:tab/>
        <w:tab/>
        <w:tab/>
        <w:t>By:</w:t>
      </w:r>
      <w:r>
        <w:rPr>
          <w:sz w:val="24"/>
          <w:u w:val="single"/>
        </w:rPr>
        <w:tab/>
      </w:r>
    </w:p>
    <w:p>
      <w:pPr>
        <w:pStyle w:val="Normal"/>
        <w:keepNext w:val="false"/>
        <w:keepLines/>
        <w:widowControl/>
        <w:tabs>
          <w:tab w:val="clear" w:pos="720"/>
          <w:tab w:val="right" w:pos="9360" w:leader="none"/>
        </w:tabs>
        <w:rPr>
          <w:sz w:val="24"/>
        </w:rPr>
      </w:pPr>
      <w:r>
        <w:rPr>
          <w:sz w:val="24"/>
        </w:rPr>
        <w:tab/>
        <w:tab/>
        <w:tab/>
        <w:tab/>
        <w:tab/>
        <w:tab/>
        <w:tab/>
        <w:t>Name:</w:t>
      </w:r>
      <w:r>
        <w:rPr>
          <w:sz w:val="24"/>
          <w:u w:val="single"/>
        </w:rPr>
        <w:tab/>
      </w:r>
    </w:p>
    <w:p>
      <w:pPr>
        <w:pStyle w:val="Normal"/>
        <w:keepLines/>
        <w:widowControl/>
        <w:tabs>
          <w:tab w:val="clear" w:pos="720"/>
          <w:tab w:val="right" w:pos="9360" w:leader="none"/>
        </w:tabs>
        <w:ind w:start="5040" w:end="0"/>
        <w:rPr>
          <w:sz w:val="24"/>
        </w:rPr>
      </w:pPr>
      <w:r>
        <w:rPr>
          <w:sz w:val="24"/>
        </w:rPr>
        <w:t>Title:</w:t>
      </w:r>
      <w:r>
        <w:rPr>
          <w:sz w:val="24"/>
          <w:u w:val="single"/>
        </w:rPr>
        <w:tab/>
      </w:r>
    </w:p>
    <w:p>
      <w:pPr>
        <w:pStyle w:val="Normal"/>
        <w:widowControl/>
        <w:rPr>
          <w:sz w:val="24"/>
        </w:rPr>
      </w:pPr>
      <w:r>
        <w:rPr>
          <w:sz w:val="24"/>
        </w:rPr>
      </w:r>
    </w:p>
    <w:p>
      <w:pPr>
        <w:sectPr>
          <w:type w:val="continuous"/>
          <w:pgSz w:w="12240" w:h="15840"/>
          <w:pgMar w:left="1440" w:right="1440" w:gutter="0" w:header="1440" w:top="1496" w:footer="720" w:bottom="1200"/>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720" w:bottom="1140"/>
          <w:pgNumType w:fmt="decimal"/>
          <w:formProt w:val="false"/>
          <w:textDirection w:val="lrTb"/>
          <w:docGrid w:type="default" w:linePitch="360" w:charSpace="0"/>
        </w:sectPr>
      </w:pPr>
    </w:p>
    <w:p>
      <w:pPr>
        <w:pStyle w:val="Normal"/>
        <w:widowControl/>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pPr>
      <w:r>
        <w:rPr>
          <w:b/>
          <w:sz w:val="24"/>
        </w:rPr>
        <w:t xml:space="preserve">McGARRET VIII, L.L.C., </w:t>
      </w:r>
      <w:r>
        <w:rPr>
          <w:sz w:val="24"/>
        </w:rPr>
        <w:t>a Delaware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4"/>
        </w:rPr>
      </w:pPr>
      <w:r>
        <w:rPr>
          <w:sz w:val="24"/>
        </w:rPr>
        <w:tab/>
        <w:t>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540" w:start="5580" w:end="0"/>
        <w:rPr>
          <w:sz w:val="24"/>
        </w:rPr>
      </w:pPr>
      <w:r>
        <w:rPr>
          <w:sz w:val="24"/>
        </w:rPr>
        <w:t>By:</w:t>
        <w:tab/>
        <w:t>Enron European Power Investors,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580" w:end="0"/>
        <w:rPr>
          <w:sz w:val="24"/>
        </w:rPr>
      </w:pPr>
      <w:r>
        <w:rPr>
          <w:sz w:val="24"/>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9360" w:leader="none"/>
        </w:tabs>
        <w:ind w:start="720" w:end="0"/>
        <w:rPr>
          <w:sz w:val="24"/>
        </w:rPr>
      </w:pPr>
      <w:r>
        <w:rPr>
          <w:sz w:val="24"/>
        </w:rPr>
        <w:tab/>
        <w:tab/>
        <w:tab/>
        <w:tab/>
        <w:tab/>
        <w:tab/>
        <w:tab/>
        <w:t>By:</w:t>
      </w:r>
      <w:r>
        <w:rPr>
          <w:sz w:val="24"/>
          <w:u w:val="single"/>
        </w:rPr>
        <w:tab/>
      </w:r>
    </w:p>
    <w:p>
      <w:pPr>
        <w:pStyle w:val="Normal"/>
        <w:widowControl/>
        <w:tabs>
          <w:tab w:val="clear" w:pos="720"/>
          <w:tab w:val="right" w:pos="9360" w:leader="none"/>
        </w:tabs>
        <w:ind w:start="720" w:end="0"/>
        <w:rPr>
          <w:sz w:val="24"/>
        </w:rPr>
      </w:pPr>
      <w:r>
        <w:rPr>
          <w:sz w:val="24"/>
        </w:rPr>
        <w:tab/>
        <w:tab/>
        <w:tab/>
        <w:tab/>
        <w:tab/>
        <w:tab/>
        <w:tab/>
        <w:t>Name:</w:t>
      </w:r>
      <w:r>
        <w:rPr>
          <w:sz w:val="24"/>
          <w:u w:val="single"/>
        </w:rPr>
        <w:tab/>
      </w:r>
    </w:p>
    <w:p>
      <w:pPr>
        <w:sectPr>
          <w:type w:val="continuous"/>
          <w:pgSz w:w="12240" w:h="15840"/>
          <w:pgMar w:left="1440" w:right="1440" w:gutter="0" w:header="1440" w:top="1496" w:footer="720" w:bottom="1140"/>
          <w:formProt w:val="false"/>
          <w:textDirection w:val="lrTb"/>
          <w:docGrid w:type="default" w:linePitch="360" w:charSpace="0"/>
        </w:sectPr>
        <w:pStyle w:val="Normal"/>
        <w:widowControl/>
        <w:tabs>
          <w:tab w:val="clear" w:pos="720"/>
          <w:tab w:val="right" w:pos="9360" w:leader="none"/>
        </w:tabs>
        <w:ind w:start="5580" w:end="0"/>
        <w:rPr>
          <w:sz w:val="24"/>
        </w:rPr>
      </w:pPr>
      <w:r>
        <w:rPr>
          <w:sz w:val="24"/>
        </w:rPr>
        <w:t>Title:</w:t>
      </w:r>
      <w:r>
        <w:rPr>
          <w:sz w:val="24"/>
          <w:u w:val="single"/>
        </w:rPr>
        <w:tab/>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clear" w:pos="720"/>
          <w:tab w:val="center" w:pos="4680" w:leader="none"/>
        </w:tabs>
        <w:rPr/>
      </w:pPr>
      <w:r>
        <w:rPr>
          <w:sz w:val="24"/>
        </w:rPr>
        <w:tab/>
      </w:r>
      <w:r>
        <w:rPr>
          <w:b/>
          <w:sz w:val="24"/>
        </w:rPr>
        <w:t>SCHEDULE 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center" w:pos="4680" w:leader="none"/>
        </w:tabs>
        <w:rPr>
          <w:sz w:val="24"/>
        </w:rPr>
      </w:pPr>
      <w:r>
        <w:rPr>
          <w:b/>
          <w:sz w:val="24"/>
        </w:rPr>
        <w:tab/>
        <w:t>FORM OF PUT NOTICE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440" w:top="1496" w:footer="720" w:bottom="776"/>
          <w:formProt w:val="false"/>
          <w:textDirection w:val="lrTb"/>
          <w:docGrid w:type="default" w:linePitch="360" w:charSpace="0"/>
        </w:sectPr>
        <w:pStyle w:val="Normal"/>
        <w:widowControl/>
        <w:tabs>
          <w:tab w:val="clear" w:pos="720"/>
          <w:tab w:val="center" w:pos="4680" w:leader="none"/>
        </w:tabs>
        <w:rPr>
          <w:sz w:val="24"/>
        </w:rPr>
      </w:pPr>
      <w:r>
        <w:rPr>
          <w:sz w:val="24"/>
        </w:rPr>
        <w:tab/>
        <w:t>[Begins on Following Page]</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r>
      <w:r>
        <w:rPr>
          <w:b/>
          <w:sz w:val="24"/>
        </w:rPr>
        <w:t>FORM OF PUT NOTICE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TO:</w:t>
        <w:tab/>
        <w:tab/>
        <w:t>ENRON BROADBAND SERVICES,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FROM:</w:t>
        <w:tab/>
        <w:t>[McGarret VIII, L.L.C.] [NAME OF ASSIGNEE]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DATE:</w:t>
        <w:tab/>
        <w:t>[   Date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rPr>
          <w:sz w:val="24"/>
        </w:rPr>
      </w:pPr>
      <w:r>
        <w:rPr>
          <w:sz w:val="24"/>
        </w:rPr>
        <w:t>RE:</w:t>
        <w:tab/>
        <w:tab/>
        <w:t>Put Option Agreement dated as of December __, 2000 and executed by Enron Broadband Services, Inc. (“EBS”) and McGarret VIII, L.L.C. (“Asset LLC”)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exact" w:line="19"/>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This is the Put Notice referred to in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We hereby give notice pursuant to and for the purposes of Section 2 of the Agreement that we elect to exercise the Put Option in respect of the Payment Date occurring on [date] and that we require EBS to purchase [number] Put Membership Interests from Asset LLC on the terms and subject to the conditions specified in Sections 3 and 4 of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This notice shall be irrevocable.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Please acknowledge receipt of this Put Notice by executing and returning to us the endorsement on the enclosed copy of this letter, </w:t>
      </w:r>
      <w:r>
        <w:rPr>
          <w:sz w:val="24"/>
          <w:u w:val="single"/>
        </w:rPr>
        <w:t>provided</w:t>
      </w:r>
      <w:r>
        <w:rPr>
          <w:sz w:val="24"/>
        </w:rPr>
        <w:t xml:space="preserve"> </w:t>
      </w:r>
      <w:r>
        <w:rPr>
          <w:sz w:val="24"/>
          <w:u w:val="single"/>
        </w:rPr>
        <w:t>that</w:t>
      </w:r>
      <w:r>
        <w:rPr>
          <w:sz w:val="24"/>
        </w:rPr>
        <w:t xml:space="preserve"> your failure to execute and return such endorsement shall not affect the validity of this Put Notice.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Unless the context requires otherwise, capitalized terms used herein and the endorsement hereto shall have the respective meanings ascribed thereto in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IN WITNESS WHEREOF, the parties have caused this Agreement to be duly executed as of the date set forth above.</w:t>
      </w:r>
      <w:r>
        <w:br w:type="page"/>
      </w:r>
    </w:p>
    <w:p>
      <w:pPr>
        <w:pStyle w:val="Normal"/>
        <w:widowControl/>
        <w:tabs>
          <w:tab w:val="clear" w:pos="720"/>
          <w:tab w:val="center" w:pos="4680" w:leader="none"/>
        </w:tabs>
        <w:rPr/>
      </w:pPr>
      <w:r>
        <w:rPr>
          <w:sz w:val="24"/>
        </w:rPr>
        <w:tab/>
      </w:r>
      <w:r>
        <w:rPr>
          <w:b/>
          <w:sz w:val="24"/>
        </w:rPr>
        <w:t>SCHEDULE 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center" w:pos="4680" w:leader="none"/>
        </w:tabs>
        <w:rPr>
          <w:b/>
          <w:sz w:val="24"/>
        </w:rPr>
      </w:pPr>
      <w:r>
        <w:rPr>
          <w:b/>
          <w:sz w:val="24"/>
        </w:rPr>
        <w:tab/>
        <w:t>FORM OF MEMBERSHIP INTEREST ASSIGNMENT</w:t>
      </w:r>
    </w:p>
    <w:p>
      <w:pPr>
        <w:pStyle w:val="Normal"/>
        <w:widowControl/>
        <w:tabs>
          <w:tab w:val="clear" w:pos="720"/>
          <w:tab w:val="center" w:pos="4680" w:leader="none"/>
        </w:tabs>
        <w:rPr>
          <w:sz w:val="24"/>
        </w:rPr>
      </w:pPr>
      <w:r>
        <w:rPr>
          <w:b/>
          <w:sz w:val="24"/>
        </w:rPr>
        <w:tab/>
        <w:t>AND RATIFICATION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t>[Begins on Following Page]</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pPr>
      <w:r>
        <w:rPr>
          <w:sz w:val="24"/>
        </w:rPr>
        <w:tab/>
      </w:r>
      <w:r>
        <w:rPr>
          <w:b/>
          <w:sz w:val="24"/>
        </w:rPr>
        <w:t>FORM OF MEMBERSHIP INTEREST ASSIGNMENT</w:t>
      </w:r>
    </w:p>
    <w:p>
      <w:pPr>
        <w:pStyle w:val="Normal"/>
        <w:widowControl/>
        <w:tabs>
          <w:tab w:val="clear" w:pos="720"/>
          <w:tab w:val="center" w:pos="4680" w:leader="none"/>
        </w:tabs>
        <w:rPr>
          <w:sz w:val="24"/>
        </w:rPr>
      </w:pPr>
      <w:r>
        <w:rPr>
          <w:b/>
          <w:sz w:val="24"/>
        </w:rPr>
        <w:tab/>
        <w:t>AND RATIFICATION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THIS MEMBERSHIP INTEREST ASSIGNMENT AND RATIFICATION AGREEMENT dated as of December ___, 2000 (this “Agreement”) is executed by and between Enron Broadband Services, Inc., an Oregon corporation (“EBS”) and McGarret VIII, L.L.C., a Delaware limited liability company (“Asset LLC”).  Capitalized terms used but not defined herein shall have the respective meanings ascribed to such terms in the Put Option Agreement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r>
      <w:r>
        <w:rPr>
          <w:b/>
          <w:sz w:val="24"/>
          <w:u w:val="single"/>
        </w:rPr>
        <w:t>R E C I T A L S</w:t>
      </w:r>
      <w:r>
        <w:rPr>
          <w:b/>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t xml:space="preserve">EBS has entered into that certain Limited Liability Company Agreement of EBS Content Systems, L.L.C., a Delaware limited liability company (the “LLC Agreement”) dated as of December ___, 2000 and made between EBS and nCUBE Corporation, a </w:t>
      </w:r>
      <w:r>
        <w:rPr>
          <w:b/>
          <w:sz w:val="24"/>
        </w:rPr>
        <w:t>[______]</w:t>
      </w:r>
      <w:r>
        <w:rPr>
          <w:sz w:val="24"/>
        </w:rPr>
        <w:t xml:space="preserve"> corporation.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w:t>
        <w:tab/>
        <w:t>On December __, 2000, pursuant to a Membership Interest Assignment and Ratification Agreement executed by EBS, EBS assigned its entire Membership Interest in EBS Content Systems, L.L.C., to Asset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EBS and Asset LLC have entered into that certain Put Option Agreement dated as of December __, 2000 (the “Put Agreement”), pursuant to which Asset LLC has the right but not the obligation, to require EBS to repurchase Put Membership Interests upon the delivery of a Put Notice by Asset LLC to EBS.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As a result of a Put Notice delivered pursuant to the Put Option Agreement, it is now the intention of the parties hereto that Asset LLC will assign [number] Put Membership Interests to EBS in accordance with the terms of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r>
      <w:r>
        <w:rPr>
          <w:b/>
          <w:sz w:val="24"/>
          <w:u w:val="single"/>
        </w:rPr>
        <w:t>A G R E E M E N T S</w:t>
      </w:r>
      <w:r>
        <w:rPr>
          <w:b/>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For good and valuable consideration, receipt of which is hereby acknowledged, EBS and Asset LLC hereby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pPr>
      <w:r>
        <w:rPr>
          <w:sz w:val="24"/>
        </w:rPr>
        <w:tab/>
      </w:r>
      <w:r>
        <w:rPr>
          <w:b/>
          <w:sz w:val="24"/>
        </w:rPr>
        <w:t>ARTICLE 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center" w:pos="4680" w:leader="none"/>
        </w:tabs>
        <w:rPr>
          <w:sz w:val="24"/>
        </w:rPr>
      </w:pPr>
      <w:r>
        <w:rPr>
          <w:b/>
          <w:sz w:val="24"/>
        </w:rPr>
        <w:tab/>
      </w:r>
      <w:r>
        <w:rPr>
          <w:b/>
          <w:sz w:val="24"/>
          <w:u w:val="single"/>
        </w:rPr>
        <w:t>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1.01</w:t>
        <w:tab/>
      </w:r>
      <w:r>
        <w:rPr>
          <w:sz w:val="24"/>
          <w:u w:val="single"/>
        </w:rPr>
        <w:t>Conveyance</w:t>
      </w:r>
      <w:r>
        <w:rPr>
          <w:sz w:val="24"/>
        </w:rPr>
        <w:t>.  Asset LLC does hereby assign, set-over, transfer and otherwise convey [number] Put Member Interests to EBS.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1.02</w:t>
        <w:tab/>
      </w:r>
      <w:r>
        <w:rPr>
          <w:sz w:val="24"/>
          <w:u w:val="single"/>
        </w:rPr>
        <w:t>Acceptance</w:t>
      </w:r>
      <w:r>
        <w:rPr>
          <w:sz w:val="24"/>
        </w:rPr>
        <w:t>.  EBS does hereby accept assignment of the [number] Put Membership Interests conveyed 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pPr>
      <w:r>
        <w:rPr>
          <w:sz w:val="24"/>
        </w:rPr>
        <w:tab/>
      </w:r>
      <w:r>
        <w:rPr>
          <w:b/>
          <w:sz w:val="24"/>
        </w:rPr>
        <w:t>ARTICLE 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center" w:pos="4680" w:leader="none"/>
        </w:tabs>
        <w:rPr>
          <w:sz w:val="24"/>
        </w:rPr>
      </w:pPr>
      <w:r>
        <w:rPr>
          <w:b/>
          <w:sz w:val="24"/>
        </w:rPr>
        <w:tab/>
      </w:r>
      <w:r>
        <w:rPr>
          <w:b/>
          <w:sz w:val="24"/>
          <w:u w:val="single"/>
        </w:rPr>
        <w:t>RATIFICATION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2.01</w:t>
        <w:tab/>
        <w:t>For the purposes of Section 3.03(b)(iii)(II) of the LLC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t>EBS and Asset LLC hereby agree, confirm, represent and warrant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pPr>
      <w:r>
        <w:rPr/>
        <w:tab/>
        <w:t>(i)</w:t>
        <w:tab/>
        <w:t>the notice address of EBS is c/o Enron Broadband Services, Inc., 1400 Smith St., Houston, Texas 77002; Attn: General Counsel; fax: (713)345-5538; tel: (713)646-7937;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pPr>
      <w:r>
        <w:rPr/>
        <w:tab/>
        <w:t>(ii)</w:t>
        <w:tab/>
        <w:t>EBS is the Parent of Asset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pPr>
      <w:r>
        <w:rPr/>
        <w:tab/>
        <w:t>(iii)</w:t>
        <w:tab/>
        <w:t>following the assignment effected hereby the Sharing Ratio of EBS with respect to the Put Membership Interests shall be 20% and Asset LLC shall have no Sharing Ratio with respect to the Put Membership Interests;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pPr>
      <w:r>
        <w:rPr/>
        <w:tab/>
        <w:t>(iv)</w:t>
        <w:tab/>
        <w:t>the Disposition and admission made pursuant to this Agreement is being made in accordance with all applicable Laws;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rPr/>
      </w:pPr>
      <w:r>
        <w:rPr/>
        <w:tab/>
        <w:t>(v)</w:t>
        <w:tab/>
        <w:t>the matters set forth in Section 3.03(b)(iii)(A)(III) and (IV) of the LLC Agreement are true and correct.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t>EBS hereby ratifies the LLC Agreement, agrees to be bound by it and confirms that the representations and warranties in Section 3.02 of the LLC Agreement are true and correct with respect to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center" w:pos="4680" w:leader="none"/>
        </w:tabs>
        <w:rPr>
          <w:b/>
        </w:rPr>
      </w:pPr>
      <w:r>
        <w:rPr>
          <w:b/>
        </w:rPr>
        <w:tab/>
        <w:t>ARTICLE III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680" w:leader="none"/>
        </w:tabs>
        <w:rPr>
          <w:b/>
        </w:rPr>
      </w:pPr>
      <w:r>
        <w:rPr>
          <w:b/>
        </w:rPr>
        <w:tab/>
      </w:r>
      <w:r>
        <w:rPr>
          <w:b/>
          <w:u w:val="single"/>
        </w:rPr>
        <w:t>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3.01</w:t>
        <w:tab/>
        <w:t>THIS AGREEMENT SHALL BE GOVERNED BY AND INTERPRETED IN ACCORDANCE WITH THE LAWS OF THE STATE OF TEXAS.</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14"/>
          <w:headerReference w:type="default" r:id="rId15"/>
          <w:footerReference w:type="even" r:id="rId16"/>
          <w:footerReference w:type="default" r:id="rId17"/>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IN WITNESS WHEREOF, the parties have caused this Agreement to be duly executed as of the date set forth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r>
      <w:r>
        <w:rPr>
          <w:b/>
        </w:rPr>
        <w:t>ENRON BROADBAND SERVICES,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right" w:pos="9360" w:leader="none"/>
        </w:tabs>
        <w:rPr/>
      </w:pPr>
      <w:r>
        <w:rPr/>
        <w:tab/>
        <w:tab/>
        <w:tab/>
        <w:tab/>
        <w:tab/>
        <w:tab/>
        <w:t>By:</w:t>
      </w:r>
      <w:r>
        <w:rPr>
          <w:u w:val="single"/>
        </w:rPr>
        <w:tab/>
      </w:r>
    </w:p>
    <w:p>
      <w:pPr>
        <w:pStyle w:val="Normal"/>
        <w:widowControl/>
        <w:tabs>
          <w:tab w:val="clear" w:pos="720"/>
          <w:tab w:val="right" w:pos="9360" w:leader="none"/>
        </w:tabs>
        <w:rPr/>
      </w:pPr>
      <w:r>
        <w:rPr/>
        <w:tab/>
        <w:tab/>
        <w:tab/>
        <w:tab/>
        <w:tab/>
        <w:tab/>
        <w:t>Name:</w:t>
      </w:r>
      <w:r>
        <w:rPr>
          <w:u w:val="single"/>
        </w:rPr>
        <w:tab/>
      </w:r>
    </w:p>
    <w:p>
      <w:pPr>
        <w:sectPr>
          <w:type w:val="continuous"/>
          <w:pgSz w:w="12240" w:h="15840"/>
          <w:pgMar w:left="1440" w:right="1440" w:gutter="0" w:header="1440" w:top="1496" w:footer="720" w:bottom="776"/>
          <w:formProt w:val="false"/>
          <w:textDirection w:val="lrTb"/>
          <w:docGrid w:type="default" w:linePitch="360" w:charSpace="0"/>
        </w:sectPr>
        <w:pStyle w:val="Normal"/>
        <w:widowControl/>
        <w:tabs>
          <w:tab w:val="clear" w:pos="720"/>
          <w:tab w:val="right" w:pos="9360" w:leader="none"/>
        </w:tabs>
        <w:rPr/>
      </w:pPr>
      <w:r>
        <w:rPr/>
        <w:tab/>
        <w:tab/>
        <w:tab/>
        <w:tab/>
        <w:tab/>
        <w:tab/>
        <w:t>Title:</w:t>
      </w:r>
      <w:r>
        <w:rPr>
          <w:u w:val="single"/>
        </w:rPr>
        <w:tab/>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18"/>
          <w:headerReference w:type="default" r:id="rId19"/>
          <w:footerReference w:type="even" r:id="rId20"/>
          <w:footerReference w:type="default" r:id="rId21"/>
          <w:type w:val="nextPage"/>
          <w:pgSz w:w="12240" w:h="15840"/>
          <w:pgMar w:left="1440" w:right="1440" w:gutter="0" w:header="1440" w:top="1496" w:footer="720" w:bottom="1140"/>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r>
      <w:r>
        <w:rPr>
          <w:b/>
        </w:rPr>
        <w:t>McGARRET VIII,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By:</w:t>
        <w:tab/>
        <w:t>Enron Broadband Services,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b/>
        <w:tab/>
        <w:tab/>
        <w:tab/>
        <w:tab/>
        <w:tab/>
        <w:t>its Managing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right" w:pos="9360" w:leader="none"/>
        </w:tabs>
        <w:rPr/>
      </w:pPr>
      <w:r>
        <w:rPr/>
        <w:tab/>
        <w:tab/>
        <w:tab/>
        <w:tab/>
        <w:tab/>
        <w:tab/>
        <w:tab/>
        <w:t>By:</w:t>
      </w:r>
      <w:r>
        <w:rPr>
          <w:u w:val="single"/>
        </w:rPr>
        <w:tab/>
      </w:r>
    </w:p>
    <w:p>
      <w:pPr>
        <w:pStyle w:val="Normal"/>
        <w:widowControl/>
        <w:tabs>
          <w:tab w:val="clear" w:pos="720"/>
          <w:tab w:val="right" w:pos="9360" w:leader="none"/>
        </w:tabs>
        <w:rPr/>
      </w:pPr>
      <w:r>
        <w:rPr/>
        <w:tab/>
        <w:tab/>
        <w:tab/>
        <w:tab/>
        <w:tab/>
        <w:tab/>
        <w:tab/>
        <w:t>Name:</w:t>
      </w:r>
      <w:r>
        <w:rPr>
          <w:u w:val="single"/>
        </w:rPr>
        <w:tab/>
      </w:r>
    </w:p>
    <w:p>
      <w:pPr>
        <w:pStyle w:val="Normal"/>
        <w:widowControl/>
        <w:tabs>
          <w:tab w:val="clear" w:pos="720"/>
          <w:tab w:val="right" w:pos="9360" w:leader="none"/>
        </w:tabs>
        <w:rPr/>
      </w:pPr>
      <w:r>
        <w:rPr/>
        <w:tab/>
        <w:tab/>
        <w:tab/>
        <w:tab/>
        <w:tab/>
        <w:tab/>
        <w:tab/>
        <w:t>Title:</w:t>
      </w:r>
      <w:r>
        <w:rPr>
          <w:u w:val="single"/>
        </w:rPr>
        <w:tab/>
      </w:r>
    </w:p>
    <w:p>
      <w:pPr>
        <w:sectPr>
          <w:type w:val="continuous"/>
          <w:pgSz w:w="12240" w:h="15840"/>
          <w:pgMar w:left="1440" w:right="1440" w:gutter="0" w:header="1440" w:top="1496" w:footer="720" w:bottom="1140"/>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 </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This redlined draft, generated by CompareRite (TM) - The Instant Redliner, shows the differences between -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original document   : C:\DOCUME~1\MOORCH\LOCALS~1\TEMP\DAL_271675_1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and revised document: C:\DOCUME~1\MOORCH\LOCALS~1\TEMP\DAL_271675_2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CompareRite found    1 change(s) in the text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Deletions appear as Strikethrough text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t xml:space="preserve">Additions appear as Bold+Dbl Underline text </w:t>
      </w:r>
    </w:p>
    <w:sectPr>
      <w:headerReference w:type="even" r:id="rId22"/>
      <w:headerReference w:type="default" r:id="rId23"/>
      <w:footerReference w:type="even" r:id="rId24"/>
      <w:footerReference w:type="default" r:id="rId25"/>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DAL:271675.2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18"/>
      </w:rPr>
    </w:pPr>
    <w:r>
      <w:rPr>
        <w:b/>
        <w:sz w:val="18"/>
      </w:rPr>
      <w:t>Assignment Agreement / Project Blockbuster (McGarret H)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b/>
        <w:sz w:val="18"/>
      </w:rPr>
      <w:t>Assignment Agreement / Project Blockbuster (McGarret H) - Signature Page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b/>
        <w:sz w:val="18"/>
      </w:rPr>
      <w:t>Assignment Agreement / Project Blockbuster (McGarret H) - Signature Page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DAL:271675.2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18"/>
      </w:rPr>
    </w:pPr>
    <w:r>
      <w:rPr>
        <w:b/>
        <w:sz w:val="18"/>
      </w:rPr>
      <w:t>Assignment Agreement / Project Blockbuster (McGarret H)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