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 xml:space="preserve"> </w:t>
      </w:r>
      <w:r>
        <w:rPr>
          <w:sz w:val="24"/>
        </w:rPr>
        <w:tab/>
      </w:r>
      <w:r>
        <w:rPr>
          <w:b/>
          <w:sz w:val="24"/>
        </w:rPr>
        <w:t>DRAWDOWN REQUEST</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Hawaii II 125-0</w:t>
      </w:r>
    </w:p>
    <w:p>
      <w:pPr>
        <w:pStyle w:val="Normal"/>
        <w:widowControl/>
        <w:rPr>
          <w:sz w:val="24"/>
        </w:rPr>
      </w:pPr>
      <w:r>
        <w:rPr>
          <w:sz w:val="24"/>
        </w:rPr>
      </w:r>
    </w:p>
    <w:p>
      <w:pPr>
        <w:pStyle w:val="Normal"/>
        <w:widowControl/>
        <w:rPr>
          <w:sz w:val="24"/>
        </w:rPr>
      </w:pPr>
      <w:r>
        <w:rPr>
          <w:sz w:val="24"/>
        </w:rPr>
        <w:t>To:</w:t>
        <w:tab/>
        <w:t>CANADIAN IMPERIAL BANK OF COMMERCE</w:t>
      </w:r>
    </w:p>
    <w:p>
      <w:pPr>
        <w:pStyle w:val="Normal"/>
        <w:widowControl/>
        <w:rPr>
          <w:sz w:val="24"/>
        </w:rPr>
      </w:pPr>
      <w:r>
        <w:rPr>
          <w:sz w:val="24"/>
        </w:rPr>
      </w:r>
    </w:p>
    <w:p>
      <w:pPr>
        <w:pStyle w:val="Normal"/>
        <w:widowControl/>
        <w:rPr>
          <w:sz w:val="24"/>
          <w:u w:val="single"/>
        </w:rPr>
      </w:pPr>
      <w:r>
        <w:rPr>
          <w:sz w:val="24"/>
          <w:u w:val="single"/>
        </w:rPr>
        <w:t>Facility Agreement, dated as of November 20, 2000</w:t>
      </w:r>
    </w:p>
    <w:p>
      <w:pPr>
        <w:pStyle w:val="Normal"/>
        <w:widowControl/>
        <w:rPr>
          <w:sz w:val="24"/>
          <w:u w:val="single"/>
        </w:rPr>
      </w:pPr>
      <w:r>
        <w:rPr>
          <w:sz w:val="24"/>
          <w:u w:val="single"/>
        </w:rPr>
      </w:r>
    </w:p>
    <w:p>
      <w:pPr>
        <w:pStyle w:val="Normal"/>
        <w:widowControl/>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widowControl/>
        <w:spacing w:lineRule="auto" w:line="360"/>
        <w:rPr>
          <w:sz w:val="24"/>
        </w:rPr>
      </w:pPr>
      <w:r>
        <w:rPr>
          <w:sz w:val="24"/>
        </w:rPr>
      </w:r>
    </w:p>
    <w:p>
      <w:pPr>
        <w:pStyle w:val="Normal"/>
        <w:widowControl/>
        <w:spacing w:lineRule="auto" w:line="240"/>
        <w:rPr>
          <w:sz w:val="24"/>
        </w:rPr>
      </w:pPr>
      <w:r>
        <w:rPr>
          <w:sz w:val="24"/>
        </w:rPr>
        <w:tab/>
        <w:t>Pursuant to Section 5.3 of the Facility Agreement, we hereby give you notice of the following proposed drawing of a Tranche:</w:t>
      </w:r>
    </w:p>
    <w:p>
      <w:pPr>
        <w:pStyle w:val="Normal"/>
        <w:widowControl/>
        <w:spacing w:lineRule="auto" w:line="240"/>
        <w:rPr>
          <w:sz w:val="24"/>
        </w:rPr>
      </w:pPr>
      <w:r>
        <w:rPr>
          <w:sz w:val="24"/>
        </w:rPr>
      </w:r>
    </w:p>
    <w:p>
      <w:pPr>
        <w:pStyle w:val="Normal"/>
        <w:widowControl/>
        <w:spacing w:lineRule="auto" w:line="240"/>
        <w:ind w:hanging="1440" w:start="1440" w:end="0"/>
        <w:rPr>
          <w:sz w:val="24"/>
        </w:rPr>
      </w:pPr>
      <w:r>
        <w:rPr>
          <w:sz w:val="24"/>
        </w:rPr>
        <w:tab/>
        <w:t>(a)</w:t>
        <w:tab/>
        <w:t>Name of Series:</w:t>
        <w:tab/>
        <w:tab/>
        <w:tab/>
        <w:tab/>
        <w:tab/>
        <w:t>McGarret H</w:t>
      </w:r>
    </w:p>
    <w:p>
      <w:pPr>
        <w:pStyle w:val="Normal"/>
        <w:widowControl/>
        <w:spacing w:lineRule="auto" w:line="240"/>
        <w:rPr>
          <w:sz w:val="24"/>
        </w:rPr>
      </w:pPr>
      <w:r>
        <w:rPr>
          <w:sz w:val="24"/>
        </w:rPr>
      </w:r>
    </w:p>
    <w:p>
      <w:pPr>
        <w:pStyle w:val="Normal"/>
        <w:widowControl/>
        <w:spacing w:lineRule="auto" w:line="240"/>
        <w:rPr>
          <w:sz w:val="24"/>
        </w:rPr>
      </w:pPr>
      <w:r>
        <w:rPr>
          <w:sz w:val="24"/>
        </w:rPr>
        <w:tab/>
        <w:t>(b)</w:t>
        <w:tab/>
        <w:t>Name of Asset LLC:</w:t>
        <w:tab/>
        <w:tab/>
        <w:tab/>
        <w:tab/>
        <w:tab/>
        <w:t>McGarret VIII, L.L.C.</w:t>
      </w:r>
    </w:p>
    <w:p>
      <w:pPr>
        <w:pStyle w:val="Normal"/>
        <w:widowControl/>
        <w:spacing w:lineRule="auto" w:line="240"/>
        <w:rPr>
          <w:sz w:val="24"/>
        </w:rPr>
      </w:pPr>
      <w:r>
        <w:rPr>
          <w:sz w:val="24"/>
        </w:rPr>
      </w:r>
    </w:p>
    <w:p>
      <w:pPr>
        <w:pStyle w:val="Normal"/>
        <w:widowControl/>
        <w:spacing w:lineRule="auto" w:line="240"/>
        <w:ind w:hanging="6480" w:start="6480" w:end="0"/>
        <w:rPr>
          <w:sz w:val="24"/>
        </w:rPr>
      </w:pPr>
      <w:r>
        <w:rPr>
          <w:sz w:val="24"/>
        </w:rPr>
        <w:tab/>
        <w:t>(c)</w:t>
        <w:tab/>
        <w:t>Name of Sponsor:</w:t>
        <w:tab/>
        <w:tab/>
        <w:tab/>
        <w:tab/>
        <w:tab/>
        <w:t>Enron Broadband Services, Inc.</w:t>
      </w:r>
    </w:p>
    <w:p>
      <w:pPr>
        <w:pStyle w:val="Normal"/>
        <w:widowControl/>
        <w:spacing w:lineRule="auto" w:line="240"/>
        <w:rPr>
          <w:sz w:val="24"/>
        </w:rPr>
      </w:pPr>
      <w:r>
        <w:rPr>
          <w:sz w:val="24"/>
        </w:rPr>
      </w:r>
    </w:p>
    <w:p>
      <w:pPr>
        <w:pStyle w:val="Normal"/>
        <w:widowControl/>
        <w:spacing w:lineRule="auto" w:line="240"/>
        <w:ind w:hanging="7200" w:start="7200" w:end="0"/>
        <w:rPr>
          <w:sz w:val="24"/>
        </w:rPr>
      </w:pPr>
      <w:r>
        <w:rPr>
          <w:sz w:val="24"/>
        </w:rPr>
        <w:tab/>
        <w:t>(d)</w:t>
        <w:tab/>
        <w:t>Initial Certificate Balance of Series Certificate:</w:t>
        <w:tab/>
        <w:tab/>
        <w:t>$1,950,000</w:t>
      </w:r>
    </w:p>
    <w:p>
      <w:pPr>
        <w:pStyle w:val="Normal"/>
        <w:widowControl/>
        <w:spacing w:lineRule="auto" w:line="240"/>
        <w:rPr>
          <w:sz w:val="24"/>
        </w:rPr>
      </w:pPr>
      <w:r>
        <w:rPr>
          <w:sz w:val="24"/>
        </w:rPr>
      </w:r>
    </w:p>
    <w:p>
      <w:pPr>
        <w:pStyle w:val="Normal"/>
        <w:widowControl/>
        <w:spacing w:lineRule="auto" w:line="240"/>
        <w:ind w:hanging="6480" w:start="6480" w:end="0"/>
        <w:rPr>
          <w:sz w:val="24"/>
        </w:rPr>
      </w:pPr>
      <w:r>
        <w:rPr>
          <w:sz w:val="24"/>
        </w:rPr>
        <w:tab/>
        <w:t>(e)</w:t>
        <w:tab/>
        <w:t>Name of Transferor and Type of Entity:</w:t>
        <w:tab/>
        <w:tab/>
        <w:t>Big Island VIII, L.L.C., a Delaware limited liability company</w:t>
      </w:r>
    </w:p>
    <w:p>
      <w:pPr>
        <w:pStyle w:val="Normal"/>
        <w:widowControl/>
        <w:spacing w:lineRule="auto" w:line="240"/>
        <w:rPr>
          <w:sz w:val="24"/>
        </w:rPr>
      </w:pPr>
      <w:r>
        <w:rPr>
          <w:sz w:val="24"/>
        </w:rPr>
      </w:r>
    </w:p>
    <w:p>
      <w:pPr>
        <w:pStyle w:val="Normal"/>
        <w:widowControl/>
        <w:spacing w:lineRule="auto" w:line="240"/>
        <w:rPr>
          <w:sz w:val="24"/>
        </w:rPr>
      </w:pPr>
      <w:r>
        <w:rPr>
          <w:sz w:val="24"/>
        </w:rPr>
        <w:tab/>
        <w:t>(f)</w:t>
        <w:tab/>
        <w:t xml:space="preserve">Type of Underlying Asset (specify Danno, </w:t>
      </w:r>
    </w:p>
    <w:p>
      <w:pPr>
        <w:pStyle w:val="Normal"/>
        <w:widowControl/>
        <w:spacing w:lineRule="auto" w:line="240"/>
        <w:rPr>
          <w:sz w:val="24"/>
        </w:rPr>
      </w:pPr>
      <w:r>
        <w:rPr>
          <w:sz w:val="24"/>
        </w:rPr>
        <w:tab/>
        <w:tab/>
        <w:t>McGarret or Governor):</w:t>
        <w:tab/>
        <w:tab/>
        <w:tab/>
        <w:tab/>
        <w:t>McGarret</w:t>
      </w:r>
    </w:p>
    <w:p>
      <w:pPr>
        <w:pStyle w:val="Normal"/>
        <w:widowControl/>
        <w:spacing w:lineRule="auto" w:line="240"/>
        <w:rPr>
          <w:sz w:val="24"/>
        </w:rPr>
      </w:pPr>
      <w:r>
        <w:rPr>
          <w:sz w:val="24"/>
        </w:rPr>
      </w:r>
    </w:p>
    <w:p>
      <w:pPr>
        <w:pStyle w:val="Normal"/>
        <w:widowControl/>
        <w:spacing w:lineRule="auto" w:line="240"/>
        <w:rPr>
          <w:sz w:val="24"/>
        </w:rPr>
      </w:pPr>
      <w:r>
        <w:rPr>
          <w:sz w:val="24"/>
        </w:rPr>
        <w:tab/>
        <w:t>(g)</w:t>
        <w:tab/>
        <w:t>Proposed Drawdown Date (a Business Day):</w:t>
        <w:tab/>
        <w:t>December 19, 2000</w:t>
      </w:r>
    </w:p>
    <w:p>
      <w:pPr>
        <w:pStyle w:val="Normal"/>
        <w:widowControl/>
        <w:spacing w:lineRule="auto" w:line="240"/>
        <w:rPr>
          <w:sz w:val="24"/>
        </w:rPr>
      </w:pPr>
      <w:r>
        <w:rPr>
          <w:sz w:val="24"/>
        </w:rPr>
      </w:r>
    </w:p>
    <w:p>
      <w:pPr>
        <w:pStyle w:val="Normal"/>
        <w:widowControl/>
        <w:spacing w:lineRule="auto" w:line="240"/>
        <w:rPr>
          <w:sz w:val="24"/>
        </w:rPr>
      </w:pPr>
      <w:r>
        <w:rPr>
          <w:sz w:val="24"/>
        </w:rPr>
        <w:tab/>
        <w:t>(h)</w:t>
        <w:tab/>
        <w:t>Amount of Tranche:</w:t>
        <w:tab/>
        <w:tab/>
        <w:tab/>
        <w:tab/>
        <w:tab/>
        <w:t>$63,050,000</w:t>
      </w:r>
    </w:p>
    <w:p>
      <w:pPr>
        <w:pStyle w:val="Normal"/>
        <w:widowControl/>
        <w:spacing w:lineRule="auto" w:line="240"/>
        <w:rPr>
          <w:sz w:val="24"/>
        </w:rPr>
      </w:pPr>
      <w:r>
        <w:rPr>
          <w:sz w:val="24"/>
        </w:rPr>
      </w:r>
    </w:p>
    <w:p>
      <w:pPr>
        <w:pStyle w:val="Normal"/>
        <w:widowControl/>
        <w:spacing w:lineRule="auto" w:line="240"/>
        <w:rPr>
          <w:sz w:val="24"/>
        </w:rPr>
      </w:pPr>
      <w:r>
        <w:rPr>
          <w:sz w:val="24"/>
        </w:rPr>
        <w:tab/>
        <w:t>(i)</w:t>
        <w:tab/>
        <w:t>Type of Advances:</w:t>
        <w:tab/>
        <w:tab/>
        <w:tab/>
        <w:tab/>
        <w:tab/>
        <w:t>LIBOR</w:t>
      </w:r>
    </w:p>
    <w:p>
      <w:pPr>
        <w:pStyle w:val="Normal"/>
        <w:widowControl/>
        <w:spacing w:lineRule="auto" w:line="240"/>
        <w:rPr>
          <w:sz w:val="24"/>
        </w:rPr>
      </w:pPr>
      <w:r>
        <w:rPr>
          <w:sz w:val="24"/>
        </w:rPr>
      </w:r>
    </w:p>
    <w:p>
      <w:pPr>
        <w:pStyle w:val="Normal"/>
        <w:widowControl/>
        <w:spacing w:lineRule="auto" w:line="240"/>
        <w:rPr>
          <w:sz w:val="24"/>
        </w:rPr>
      </w:pPr>
      <w:r>
        <w:rPr>
          <w:sz w:val="24"/>
        </w:rPr>
        <w:tab/>
        <w:t>(j)</w:t>
        <w:tab/>
        <w:t>Interest Period (if LIBOR advance):</w:t>
      </w:r>
      <w:r>
        <w:rPr>
          <w:b/>
          <w:color w:val="FF0000"/>
          <w:sz w:val="24"/>
          <w:u w:val="double"/>
        </w:rPr>
        <w:tab/>
        <w:tab/>
        <w:tab/>
        <w:t>Three (3) months</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ind w:hanging="1440" w:start="1440" w:end="0"/>
        <w:rPr>
          <w:sz w:val="24"/>
        </w:rPr>
      </w:pPr>
      <w:r>
        <w:rPr>
          <w:sz w:val="24"/>
        </w:rPr>
        <w:tab/>
        <w:t>(k)</w:t>
        <w:tab/>
        <w:t>Repayment Date:</w:t>
      </w:r>
    </w:p>
    <w:p>
      <w:pPr>
        <w:pStyle w:val="Normal"/>
        <w:widowControl/>
        <w:spacing w:lineRule="auto" w:line="240"/>
        <w:rPr>
          <w:sz w:val="24"/>
        </w:rPr>
      </w:pPr>
      <w:r>
        <w:rPr>
          <w:sz w:val="24"/>
        </w:rPr>
      </w:r>
    </w:p>
    <w:p>
      <w:pPr>
        <w:pStyle w:val="Normal"/>
        <w:widowControl/>
        <w:spacing w:lineRule="auto" w:line="240"/>
        <w:ind w:hanging="720" w:start="2160" w:end="0"/>
        <w:rPr>
          <w:sz w:val="24"/>
        </w:rPr>
      </w:pPr>
      <w:r>
        <w:rPr>
          <w:sz w:val="24"/>
        </w:rPr>
        <w:tab/>
        <w:t>(1)</w:t>
        <w:tab/>
        <w:t>in the event that the Trust, acting at the direction of the Lenders pursuant to Section 24.1 of the Facility Agreement and Section 6.01(a)(ix) of the Trust Agreement, exercises a Put Option by delivering a Principal Put Notice with respect to the Interest Payment Date falling on November 19, 2002, in accordance with Section 2 of the Put Option Agreement, the Repayment Date shall be January 19, 2003 or</w:t>
      </w:r>
    </w:p>
    <w:p>
      <w:pPr>
        <w:pStyle w:val="Normal"/>
        <w:widowControl/>
        <w:spacing w:lineRule="auto" w:line="240"/>
        <w:rPr>
          <w:sz w:val="24"/>
        </w:rPr>
      </w:pPr>
      <w:r>
        <w:rPr>
          <w:sz w:val="24"/>
        </w:rPr>
      </w:r>
    </w:p>
    <w:p>
      <w:pPr>
        <w:pStyle w:val="Normal"/>
        <w:widowControl/>
        <w:spacing w:lineRule="auto" w:line="240"/>
        <w:ind w:hanging="720" w:start="2160" w:end="0"/>
        <w:rPr>
          <w:sz w:val="24"/>
        </w:rPr>
      </w:pPr>
      <w:r>
        <w:rPr>
          <w:sz w:val="24"/>
        </w:rPr>
        <w:tab/>
        <w:t>(2)</w:t>
        <w:tab/>
        <w:t>in the event that the Put Option is not so exercised, the Repayment Date shall be November 19, 2002.</w:t>
      </w:r>
    </w:p>
    <w:p>
      <w:pPr>
        <w:pStyle w:val="Normal"/>
        <w:widowControl/>
        <w:spacing w:lineRule="auto" w:line="240"/>
        <w:rPr>
          <w:sz w:val="24"/>
        </w:rPr>
      </w:pPr>
      <w:r>
        <w:rPr>
          <w:sz w:val="24"/>
        </w:rPr>
      </w:r>
    </w:p>
    <w:p>
      <w:pPr>
        <w:pStyle w:val="Normal"/>
        <w:widowControl/>
        <w:spacing w:lineRule="auto" w:line="240"/>
        <w:rPr>
          <w:sz w:val="24"/>
        </w:rPr>
      </w:pPr>
      <w:r>
        <w:rPr>
          <w:sz w:val="24"/>
        </w:rPr>
        <w:tab/>
        <w:t>(l)</w:t>
        <w:tab/>
        <w:t>Payment instructions:</w:t>
        <w:tab/>
        <w:tab/>
        <w:tab/>
        <w:tab/>
        <w:tab/>
        <w:t>Enron Corp. to notify Agent</w:t>
      </w:r>
    </w:p>
    <w:p>
      <w:pPr>
        <w:pStyle w:val="Normal"/>
        <w:widowControl/>
        <w:spacing w:lineRule="auto" w:line="240"/>
        <w:rPr>
          <w:sz w:val="24"/>
        </w:rPr>
      </w:pPr>
      <w:r>
        <w:rPr>
          <w:sz w:val="24"/>
        </w:rPr>
      </w:r>
    </w:p>
    <w:p>
      <w:pPr>
        <w:pStyle w:val="Normal"/>
        <w:widowControl/>
        <w:spacing w:lineRule="auto" w:line="240"/>
        <w:ind w:hanging="1440" w:start="1440" w:end="0"/>
        <w:rPr>
          <w:sz w:val="24"/>
        </w:rPr>
      </w:pPr>
      <w:r>
        <w:rPr>
          <w:sz w:val="24"/>
        </w:rPr>
        <w:tab/>
        <w:t>(m)</w:t>
        <w:tab/>
        <w:t>Swap Provider:</w:t>
        <w:tab/>
        <w:tab/>
        <w:tab/>
        <w:t xml:space="preserve"> </w:t>
        <w:tab/>
        <w:tab/>
        <w:t>Enron North America Corp.</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spacing w:lineRule="auto" w:line="240"/>
        <w:rPr>
          <w:sz w:val="24"/>
        </w:rPr>
      </w:pPr>
      <w:r>
        <w:rPr>
          <w:sz w:val="24"/>
        </w:rPr>
      </w:r>
    </w:p>
    <w:p>
      <w:pPr>
        <w:pStyle w:val="Normal"/>
        <w:widowControl/>
        <w:spacing w:lineRule="auto" w:line="240"/>
        <w:rPr>
          <w:sz w:val="24"/>
        </w:rPr>
      </w:pPr>
      <w:r>
        <w:rPr>
          <w:sz w:val="24"/>
        </w:rPr>
        <w:t>Dated: December 13, 2000</w:t>
      </w:r>
      <w:r>
        <w:br w:type="page"/>
      </w:r>
    </w:p>
    <w:p>
      <w:pPr>
        <w:pStyle w:val="Normal"/>
        <w:widowControl/>
        <w:spacing w:lineRule="auto" w:line="24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spacing w:lineRule="auto" w:line="240"/>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P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b/>
          <w:sz w:val="24"/>
        </w:rPr>
        <w:t>HAWAII II 125-0 TRUST</w:t>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By:</w:t>
        <w:tab/>
        <w:t xml:space="preserve">Wilmington Trust Company, </w:t>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start="540" w:end="0"/>
        <w:rPr>
          <w:sz w:val="24"/>
        </w:rPr>
      </w:pPr>
      <w:r>
        <w:rPr>
          <w:sz w:val="24"/>
        </w:rPr>
        <w:t xml:space="preserve">not in its individual capacity, </w:t>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start="540" w:end="0"/>
        <w:rPr>
          <w:sz w:val="24"/>
        </w:rPr>
      </w:pPr>
      <w:r>
        <w:rPr>
          <w:sz w:val="24"/>
        </w:rPr>
        <w:t>but solely as Owner Trustee</w:t>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By:</w:t>
      </w:r>
      <w:r>
        <w:rPr>
          <w:sz w:val="24"/>
          <w:u w:val="single"/>
        </w:rPr>
        <w:tab/>
        <w:tab/>
        <w:tab/>
        <w:tab/>
        <w:tab/>
        <w:tab/>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Name:</w:t>
      </w:r>
      <w:r>
        <w:rPr>
          <w:sz w:val="24"/>
          <w:u w:val="single"/>
        </w:rPr>
        <w:tab/>
        <w:tab/>
        <w:tab/>
        <w:tab/>
        <w:tab/>
        <w:tab/>
      </w:r>
    </w:p>
    <w:p>
      <w:pPr>
        <w:pStyle w:val="Normal"/>
        <w:keepNext w:val="tru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Title:</w:t>
      </w:r>
      <w:r>
        <w:rPr>
          <w:sz w:val="24"/>
          <w:u w:val="single"/>
        </w:rPr>
        <w:tab/>
        <w:tab/>
        <w:tab/>
        <w:tab/>
        <w:tab/>
        <w:tab/>
      </w:r>
    </w:p>
    <w:p>
      <w:pPr>
        <w:pStyle w:val="Normal"/>
        <w:keepNext w:val="false"/>
        <w:keepLines/>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Pr>
    </w:p>
    <w:p>
      <w:pPr>
        <w:sectPr>
          <w:type w:val="continuous"/>
          <w:pgSz w:w="12240" w:h="15840"/>
          <w:pgMar w:left="1440" w:right="1440" w:gutter="0" w:header="1440" w:top="1496" w:footer="1440" w:bottom="1920"/>
          <w:formProt w:val="false"/>
          <w:textDirection w:val="lrTb"/>
          <w:docGrid w:type="default" w:linePitch="360" w:charSpace="0"/>
        </w:sectPr>
        <w:pStyle w:val="Normal"/>
        <w:keepLines w:val="false"/>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 xml:space="preserve">This redlined draft, generated by CompareRite (TM) - The Instant Redliner, shows the differences between - </w:t>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original document   : C:\DOCUME~1\MOORCH\LOCALS~1\TEMP\DAL_271616_1</w:t>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and revised document: C:\DOCUME~1\MOORCH\LOCALS~1\TEMP\DAL_271616_2</w:t>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CompareRite found    1 change(s) in the text</w:t>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 xml:space="preserve">Deletions appear as Strikethrough text </w:t>
      </w:r>
    </w:p>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6"/>
      <w:headerReference w:type="default" r:id="rId7"/>
      <w:footerReference w:type="even" r:id="rId8"/>
      <w:footerReference w:type="default" r:id="rId9"/>
      <w:type w:val="nextPage"/>
      <w:pgSz w:w="12240" w:h="15840"/>
      <w:pgMar w:left="1440" w:right="1440" w:gutter="0" w:header="1440" w:top="1496" w:footer="864" w:bottom="1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DAL:271616.2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DAL:271616.2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