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4"/>
        </w:rPr>
        <w:t>Date:</w:t>
        <w:tab/>
      </w:r>
      <w:r>
        <w:rPr>
          <w:sz w:val="24"/>
        </w:rPr>
        <w:tab/>
        <w:t>29</w:t>
      </w:r>
      <w:r>
        <w:rPr>
          <w:sz w:val="24"/>
          <w:vertAlign w:val="superscript"/>
        </w:rPr>
        <w:t>th</w:t>
      </w:r>
      <w:r>
        <w:rPr>
          <w:sz w:val="24"/>
        </w:rPr>
        <w:t xml:space="preserve"> November 2000</w:t>
      </w:r>
    </w:p>
    <w:p>
      <w:pPr>
        <w:pStyle w:val="Normal"/>
        <w:rPr>
          <w:b/>
          <w:sz w:val="24"/>
        </w:rPr>
      </w:pPr>
      <w:r>
        <w:rPr>
          <w:b/>
          <w:sz w:val="24"/>
        </w:rPr>
      </w:r>
    </w:p>
    <w:p>
      <w:pPr>
        <w:pStyle w:val="Normal"/>
        <w:rPr/>
      </w:pPr>
      <w:r>
        <w:rPr>
          <w:b/>
          <w:sz w:val="24"/>
        </w:rPr>
        <w:t>To:</w:t>
        <w:tab/>
        <w:tab/>
      </w:r>
      <w:r>
        <w:rPr>
          <w:sz w:val="24"/>
        </w:rPr>
        <w:t>Distribution</w:t>
      </w:r>
    </w:p>
    <w:p>
      <w:pPr>
        <w:pStyle w:val="Normal"/>
        <w:rPr>
          <w:b/>
          <w:sz w:val="24"/>
        </w:rPr>
      </w:pPr>
      <w:r>
        <w:rPr>
          <w:b/>
          <w:sz w:val="24"/>
        </w:rPr>
      </w:r>
    </w:p>
    <w:p>
      <w:pPr>
        <w:pStyle w:val="Normal"/>
        <w:rPr/>
      </w:pPr>
      <w:r>
        <w:rPr>
          <w:b/>
          <w:sz w:val="24"/>
        </w:rPr>
        <w:t>From:</w:t>
        <w:tab/>
      </w:r>
      <w:r>
        <w:rPr>
          <w:sz w:val="24"/>
        </w:rPr>
        <w:tab/>
        <w:t>Government and Regulatory Affairs - Enron Europe</w:t>
      </w:r>
    </w:p>
    <w:p>
      <w:pPr>
        <w:pStyle w:val="Normal"/>
        <w:pBdr>
          <w:bottom w:val="single" w:sz="12" w:space="1" w:color="000000"/>
        </w:pBdr>
        <w:rPr>
          <w:b/>
          <w:sz w:val="24"/>
        </w:rPr>
      </w:pPr>
      <w:r>
        <w:rPr>
          <w:b/>
          <w:sz w:val="24"/>
        </w:rPr>
      </w:r>
    </w:p>
    <w:p>
      <w:pPr>
        <w:pStyle w:val="Normal"/>
        <w:pBdr>
          <w:bottom w:val="single" w:sz="12" w:space="1" w:color="000000"/>
        </w:pBdr>
        <w:rPr/>
      </w:pPr>
      <w:r>
        <w:rPr>
          <w:b/>
          <w:sz w:val="24"/>
        </w:rPr>
        <w:t>Subject:</w:t>
        <w:tab/>
      </w:r>
      <w:r>
        <w:rPr>
          <w:sz w:val="24"/>
        </w:rPr>
        <w:t>Weekly Activity Report and Upcoming Schedule</w:t>
      </w:r>
    </w:p>
    <w:p>
      <w:pPr>
        <w:pStyle w:val="Normal"/>
        <w:pBdr>
          <w:bottom w:val="single" w:sz="12" w:space="1" w:color="000000"/>
        </w:pBdr>
        <w:rPr>
          <w:sz w:val="24"/>
        </w:rPr>
      </w:pPr>
      <w:r>
        <w:rPr>
          <w:sz w:val="24"/>
        </w:rPr>
      </w:r>
    </w:p>
    <w:p>
      <w:pPr>
        <w:pStyle w:val="Heading4"/>
        <w:ind w:hanging="0" w:start="0"/>
        <w:rPr/>
      </w:pPr>
      <w:r>
        <w:rPr/>
        <w:t>EU</w:t>
      </w:r>
    </w:p>
    <w:p>
      <w:pPr>
        <w:pStyle w:val="Normal"/>
        <w:numPr>
          <w:ilvl w:val="0"/>
          <w:numId w:val="5"/>
        </w:numPr>
        <w:jc w:val="both"/>
        <w:rPr>
          <w:sz w:val="24"/>
        </w:rPr>
      </w:pPr>
      <w:r>
        <w:rPr>
          <w:sz w:val="24"/>
        </w:rPr>
        <w:t>On November 10 we attended as part of Eurelectric delegation a meeting organised by the European Commission (DG TREN) in Brussels regarding EU-Russia co-operation in energy field and overall EU strategy to secure long-term security of supply. The discussion mostly centred around the needs for infrastructure enhancement in Russia and the framework for such infrastructure investments. We put forth the argument that further market liberalisation is essential for strengthening companies’ confidence to finance infrastructure developments.</w:t>
      </w:r>
    </w:p>
    <w:p>
      <w:pPr>
        <w:pStyle w:val="Normal"/>
        <w:numPr>
          <w:ilvl w:val="0"/>
          <w:numId w:val="5"/>
        </w:numPr>
        <w:jc w:val="both"/>
        <w:rPr>
          <w:sz w:val="24"/>
        </w:rPr>
      </w:pPr>
      <w:r>
        <w:rPr>
          <w:sz w:val="24"/>
        </w:rPr>
        <w:t>We have undertaken contacts with European Commission officials at the Common Service for External Relations (dealing with energy import tenders for Serbia) and with officials at the Reconstruction Agency for Kosovo. We expressed our interest in receiving any information related to the informal tendering procedure initiated by these officials for energy imports into the region.</w:t>
      </w:r>
    </w:p>
    <w:p>
      <w:pPr>
        <w:pStyle w:val="Normal"/>
        <w:numPr>
          <w:ilvl w:val="0"/>
          <w:numId w:val="5"/>
        </w:numPr>
        <w:jc w:val="both"/>
        <w:rPr>
          <w:sz w:val="24"/>
        </w:rPr>
      </w:pPr>
      <w:r>
        <w:rPr>
          <w:sz w:val="24"/>
        </w:rPr>
        <w:t>On November 8 we met with a Commission official in the state aids unit of DG Competition to further discuss our concerns regarding stranded costs recovery and other market distortions in the Netherlands.</w:t>
      </w:r>
    </w:p>
    <w:p>
      <w:pPr>
        <w:pStyle w:val="Normal"/>
        <w:numPr>
          <w:ilvl w:val="0"/>
          <w:numId w:val="5"/>
        </w:numPr>
        <w:jc w:val="both"/>
        <w:rPr>
          <w:sz w:val="24"/>
        </w:rPr>
      </w:pPr>
      <w:r>
        <w:rPr>
          <w:sz w:val="24"/>
        </w:rPr>
        <w:t>Within the Electricity Working Group of EFET we prepared EFET proposals for cross-border power transmission charging in anticipation of the Sixth Meeting of the Electricity Regulators’s Forum in Florence (November 9-10). Two papers  were agreed upon: a short-term one for addressing the cross-border ratification (arguing against a pan-European solution if this would entail all Member States going for an export-related tariff) and a long-term one for a flow-related model based on harmonised generation (G) and load (L) elements.</w:t>
      </w:r>
    </w:p>
    <w:p>
      <w:pPr>
        <w:pStyle w:val="Normal"/>
        <w:numPr>
          <w:ilvl w:val="0"/>
          <w:numId w:val="5"/>
        </w:numPr>
        <w:jc w:val="both"/>
        <w:rPr>
          <w:sz w:val="24"/>
        </w:rPr>
      </w:pPr>
      <w:r>
        <w:rPr>
          <w:sz w:val="24"/>
        </w:rPr>
        <w:t>On November 9-10 EFET was represented at the Sixth Florence session. The two EFET papers on cross-border power transmission charges were distributed at the meeting.</w:t>
      </w:r>
    </w:p>
    <w:p>
      <w:pPr>
        <w:pStyle w:val="Normal"/>
        <w:numPr>
          <w:ilvl w:val="0"/>
          <w:numId w:val="5"/>
        </w:numPr>
        <w:jc w:val="both"/>
        <w:rPr>
          <w:sz w:val="24"/>
        </w:rPr>
      </w:pPr>
      <w:r>
        <w:rPr>
          <w:sz w:val="24"/>
        </w:rPr>
        <w:t>On November 20 we helped organise and attended EnronOnline presentation for the Eurelectric Trading Working Group in Brussels.</w:t>
      </w:r>
    </w:p>
    <w:p>
      <w:pPr>
        <w:pStyle w:val="Normal"/>
        <w:numPr>
          <w:ilvl w:val="0"/>
          <w:numId w:val="5"/>
        </w:numPr>
        <w:jc w:val="both"/>
        <w:rPr>
          <w:sz w:val="24"/>
        </w:rPr>
      </w:pPr>
      <w:r>
        <w:rPr>
          <w:sz w:val="24"/>
        </w:rPr>
        <w:t>On November 20 we, as chair of EFET Electricity Working Group, reported at the EFET Board meeting and Plenary Session.</w:t>
      </w:r>
    </w:p>
    <w:p>
      <w:pPr>
        <w:pStyle w:val="Normal"/>
        <w:numPr>
          <w:ilvl w:val="0"/>
          <w:numId w:val="5"/>
        </w:numPr>
        <w:jc w:val="both"/>
        <w:rPr>
          <w:sz w:val="24"/>
        </w:rPr>
      </w:pPr>
      <w:r>
        <w:rPr>
          <w:sz w:val="24"/>
        </w:rPr>
        <w:t>On the same day (November 20) EFET carried out a press briefing for energy trade press journalists in the prelude to the E-MART conference.</w:t>
      </w:r>
    </w:p>
    <w:p>
      <w:pPr>
        <w:pStyle w:val="Normal"/>
        <w:numPr>
          <w:ilvl w:val="0"/>
          <w:numId w:val="5"/>
        </w:numPr>
        <w:jc w:val="both"/>
        <w:rPr>
          <w:sz w:val="24"/>
        </w:rPr>
      </w:pPr>
      <w:r>
        <w:rPr>
          <w:sz w:val="24"/>
        </w:rPr>
        <w:t>On November 21 we co-chaired an EFET breakfast meeting with US commercial officers dealing with the energy sector from various US embassies in Europe.</w:t>
      </w:r>
    </w:p>
    <w:p>
      <w:pPr>
        <w:pStyle w:val="Normal"/>
        <w:numPr>
          <w:ilvl w:val="0"/>
          <w:numId w:val="5"/>
        </w:numPr>
        <w:jc w:val="both"/>
        <w:rPr>
          <w:sz w:val="24"/>
        </w:rPr>
      </w:pPr>
      <w:r>
        <w:rPr>
          <w:sz w:val="24"/>
        </w:rPr>
        <w:t>On November 20-21 we had discussions with Oed Holsaetter (Nordel and President of ETSO), Eberhard Meller (General Secretary VDEW) and Katrien Prins (DG TREN, internal market unit) regarding the aftermath of the last Florence session and what should be done in the next sixth months about cross-border transmission charges. The Commission has announced its position that an export-related tariff will be distortive for cross-border trade and should therefore be avoided. A regular working group will be set up to work on a more permanent solution for cross-border ratification (with the target of Spring 2001). EFET will try to get involved in the workings of this group.</w:t>
      </w:r>
    </w:p>
    <w:p>
      <w:pPr>
        <w:pStyle w:val="Normal"/>
        <w:keepLines/>
        <w:numPr>
          <w:ilvl w:val="0"/>
          <w:numId w:val="3"/>
        </w:numPr>
        <w:autoSpaceDE w:val="false"/>
        <w:spacing w:lineRule="atLeast" w:line="240"/>
        <w:jc w:val="both"/>
        <w:rPr>
          <w:color w:val="000000"/>
          <w:sz w:val="24"/>
          <w:lang w:val="en-US"/>
        </w:rPr>
      </w:pPr>
      <w:r>
        <w:rPr>
          <w:color w:val="000000"/>
          <w:sz w:val="24"/>
          <w:lang w:val="en-US"/>
        </w:rPr>
        <w:t>On 16 November the European Parliament adopted a report on the Commission proposal for a Directive for the promotion of renewable energies.  The report which was drafted by German Social Democrat Mechtild Rothe is supporting the commission proposal and in some cases goes even beyond that, for example:</w:t>
      </w:r>
    </w:p>
    <w:p>
      <w:pPr>
        <w:pStyle w:val="Normal"/>
        <w:keepLines/>
        <w:numPr>
          <w:ilvl w:val="2"/>
          <w:numId w:val="3"/>
        </w:numPr>
        <w:autoSpaceDE w:val="false"/>
        <w:spacing w:lineRule="atLeast" w:line="240"/>
        <w:jc w:val="both"/>
        <w:rPr>
          <w:color w:val="000000"/>
          <w:sz w:val="24"/>
          <w:lang w:val="en-US"/>
        </w:rPr>
      </w:pPr>
      <w:r>
        <w:rPr>
          <w:color w:val="000000"/>
          <w:sz w:val="24"/>
          <w:lang w:val="en-US"/>
        </w:rPr>
        <w:t>classifying peat as a renewable energy source,</w:t>
      </w:r>
    </w:p>
    <w:p>
      <w:pPr>
        <w:pStyle w:val="Normal"/>
        <w:keepLines/>
        <w:numPr>
          <w:ilvl w:val="2"/>
          <w:numId w:val="3"/>
        </w:numPr>
        <w:autoSpaceDE w:val="false"/>
        <w:spacing w:lineRule="atLeast" w:line="240"/>
        <w:jc w:val="both"/>
        <w:rPr>
          <w:color w:val="000000"/>
          <w:sz w:val="24"/>
          <w:lang w:val="en-US"/>
        </w:rPr>
      </w:pPr>
      <w:r>
        <w:rPr>
          <w:color w:val="000000"/>
          <w:sz w:val="24"/>
          <w:lang w:val="en-US"/>
        </w:rPr>
        <w:t>demanding certificates of origin for any kind of electricity, not only for renewables,</w:t>
      </w:r>
    </w:p>
    <w:p>
      <w:pPr>
        <w:pStyle w:val="Normal"/>
        <w:keepLines/>
        <w:numPr>
          <w:ilvl w:val="2"/>
          <w:numId w:val="3"/>
        </w:numPr>
        <w:autoSpaceDE w:val="false"/>
        <w:spacing w:lineRule="atLeast" w:line="240"/>
        <w:jc w:val="both"/>
        <w:rPr>
          <w:color w:val="000000"/>
          <w:sz w:val="24"/>
          <w:lang w:val="en-US"/>
        </w:rPr>
      </w:pPr>
      <w:r>
        <w:rPr>
          <w:color w:val="000000"/>
          <w:sz w:val="24"/>
          <w:lang w:val="en-US"/>
        </w:rPr>
        <w:t>calling for a 10-year- transitionary period for national support schemes, instead of 5 years as proposed by the Commission, before any further harmonisation in this field should take place,</w:t>
      </w:r>
    </w:p>
    <w:p>
      <w:pPr>
        <w:pStyle w:val="Normal"/>
        <w:keepLines/>
        <w:numPr>
          <w:ilvl w:val="2"/>
          <w:numId w:val="3"/>
        </w:numPr>
        <w:autoSpaceDE w:val="false"/>
        <w:spacing w:lineRule="atLeast" w:line="240"/>
        <w:jc w:val="both"/>
        <w:rPr>
          <w:color w:val="000000"/>
          <w:sz w:val="24"/>
          <w:lang w:val="en-US"/>
        </w:rPr>
      </w:pPr>
      <w:r>
        <w:rPr>
          <w:color w:val="000000"/>
          <w:sz w:val="24"/>
          <w:lang w:val="en-US"/>
        </w:rPr>
        <w:t>denying that these schemes would constitute any kind of state aid,</w:t>
      </w:r>
    </w:p>
    <w:p>
      <w:pPr>
        <w:pStyle w:val="Normal"/>
        <w:keepLines/>
        <w:numPr>
          <w:ilvl w:val="2"/>
          <w:numId w:val="3"/>
        </w:numPr>
        <w:autoSpaceDE w:val="false"/>
        <w:spacing w:lineRule="atLeast" w:line="240"/>
        <w:jc w:val="both"/>
        <w:rPr>
          <w:color w:val="000000"/>
          <w:sz w:val="24"/>
          <w:lang w:val="en-US"/>
        </w:rPr>
      </w:pPr>
      <w:r>
        <w:rPr>
          <w:color w:val="000000"/>
          <w:sz w:val="24"/>
          <w:lang w:val="en-US"/>
        </w:rPr>
        <w:t>asking for improved grid access conditions for renewable energy.</w:t>
      </w:r>
    </w:p>
    <w:p>
      <w:pPr>
        <w:pStyle w:val="Normal"/>
        <w:autoSpaceDE w:val="false"/>
        <w:spacing w:lineRule="atLeast" w:line="240"/>
        <w:jc w:val="both"/>
        <w:rPr>
          <w:b/>
          <w:bCs/>
          <w:color w:val="000000"/>
          <w:sz w:val="24"/>
          <w:lang w:val="en-US"/>
        </w:rPr>
      </w:pPr>
      <w:r>
        <w:rPr>
          <w:b/>
          <w:bCs/>
          <w:color w:val="000000"/>
          <w:sz w:val="24"/>
          <w:lang w:val="en-US"/>
        </w:rPr>
      </w:r>
    </w:p>
    <w:p>
      <w:pPr>
        <w:pStyle w:val="Normal"/>
        <w:autoSpaceDE w:val="false"/>
        <w:spacing w:lineRule="atLeast" w:line="240"/>
        <w:jc w:val="both"/>
        <w:rPr>
          <w:b/>
          <w:bCs/>
          <w:color w:val="000000"/>
          <w:sz w:val="24"/>
          <w:lang w:val="en-US"/>
        </w:rPr>
      </w:pPr>
      <w:r>
        <w:rPr>
          <w:b/>
          <w:bCs/>
          <w:color w:val="000000"/>
          <w:sz w:val="24"/>
          <w:lang w:val="en-US"/>
        </w:rPr>
        <w:t>UK</w:t>
      </w:r>
    </w:p>
    <w:p>
      <w:pPr>
        <w:pStyle w:val="Normal"/>
        <w:numPr>
          <w:ilvl w:val="0"/>
          <w:numId w:val="8"/>
        </w:numPr>
        <w:autoSpaceDE w:val="false"/>
        <w:spacing w:lineRule="atLeast" w:line="240"/>
        <w:jc w:val="both"/>
        <w:rPr>
          <w:color w:val="000000"/>
          <w:sz w:val="24"/>
          <w:lang w:val="en-US"/>
        </w:rPr>
      </w:pPr>
      <w:r>
        <w:rPr>
          <w:color w:val="000000"/>
          <w:sz w:val="24"/>
          <w:lang w:val="en-US"/>
        </w:rPr>
        <w:t>DETR has sent out a consultation document on "A Greenhouse Gas Emissions Trading Scheme for the United Kingdom". In order to jumpstart this emissions allowances trading scheme, Government will make available £ 30 M annually to subsidise the best emissions-reduction projects. The emissions trading scheme will initially exclude power generation facilities due to the differentiating impact it would have on the various generation typologies. This has yet to be sorted out. The trading scheme aims to be sufficiently flexible to adapt to future international trading. Comments on the consultation document are due in by 12th January 2001.</w:t>
      </w:r>
    </w:p>
    <w:p>
      <w:pPr>
        <w:pStyle w:val="Normal"/>
        <w:numPr>
          <w:ilvl w:val="0"/>
          <w:numId w:val="4"/>
        </w:numPr>
        <w:spacing w:lineRule="atLeast" w:line="240"/>
        <w:jc w:val="both"/>
        <w:rPr>
          <w:color w:val="000000"/>
          <w:sz w:val="24"/>
          <w:lang w:val="en-AU"/>
        </w:rPr>
      </w:pPr>
      <w:r>
        <w:rPr>
          <w:color w:val="000000"/>
          <w:sz w:val="24"/>
          <w:lang w:val="en-US"/>
        </w:rPr>
        <w:t>Response is due next week to a DTI canvas on how to treat Climate Change Levy in published indices for fuel prices.  We are supporting their proposal to continue to state the existing tables exclusive of the Levy.</w:t>
      </w:r>
    </w:p>
    <w:p>
      <w:pPr>
        <w:pStyle w:val="Heading3"/>
        <w:autoSpaceDE w:val="false"/>
        <w:ind w:hanging="0" w:start="0"/>
        <w:rPr>
          <w:bCs/>
          <w:color w:val="000000"/>
          <w:sz w:val="24"/>
          <w:lang w:val="en-US"/>
        </w:rPr>
      </w:pPr>
      <w:r>
        <w:rPr>
          <w:bCs/>
          <w:color w:val="000000"/>
          <w:sz w:val="24"/>
          <w:lang w:val="en-US"/>
        </w:rPr>
      </w:r>
    </w:p>
    <w:p>
      <w:pPr>
        <w:pStyle w:val="Heading3"/>
        <w:autoSpaceDE w:val="false"/>
        <w:ind w:hanging="0" w:start="0"/>
        <w:rPr>
          <w:bCs/>
          <w:lang w:val="en-US"/>
        </w:rPr>
      </w:pPr>
      <w:r>
        <w:rPr>
          <w:bCs/>
          <w:lang w:val="en-US"/>
        </w:rPr>
        <w:t>Belgium</w:t>
      </w:r>
    </w:p>
    <w:p>
      <w:pPr>
        <w:pStyle w:val="Normal"/>
        <w:numPr>
          <w:ilvl w:val="0"/>
          <w:numId w:val="2"/>
        </w:numPr>
        <w:autoSpaceDE w:val="false"/>
        <w:spacing w:lineRule="atLeast" w:line="240"/>
        <w:jc w:val="both"/>
        <w:rPr>
          <w:color w:val="000000"/>
          <w:sz w:val="24"/>
          <w:lang w:val="en-US"/>
        </w:rPr>
      </w:pPr>
      <w:r>
        <w:rPr>
          <w:color w:val="000000"/>
          <w:sz w:val="24"/>
          <w:lang w:val="en-US"/>
        </w:rPr>
        <w:t>The government has asked CREG, the Belgium regulator, to publish transportation tariffs for 2001 based on costs. The Belgium transmission grid company is to be publicly traded and designated as TSO in spring of 2001.</w:t>
      </w:r>
    </w:p>
    <w:p>
      <w:pPr>
        <w:pStyle w:val="Normal"/>
        <w:numPr>
          <w:ilvl w:val="0"/>
          <w:numId w:val="2"/>
        </w:numPr>
        <w:autoSpaceDE w:val="false"/>
        <w:spacing w:lineRule="atLeast" w:line="240"/>
        <w:jc w:val="both"/>
        <w:rPr>
          <w:color w:val="000000"/>
          <w:sz w:val="24"/>
          <w:lang w:val="en-US"/>
        </w:rPr>
      </w:pPr>
      <w:r>
        <w:rPr>
          <w:color w:val="000000"/>
          <w:sz w:val="24"/>
          <w:lang w:val="en-US"/>
        </w:rPr>
        <w:t>CPTE, the de facto TSO, has published Access Responsible Party rules and associated southern border access rules effectively consolidating Electrabel's market power for delivery and export transactions</w:t>
      </w:r>
    </w:p>
    <w:p>
      <w:pPr>
        <w:pStyle w:val="Heading3"/>
        <w:autoSpaceDE w:val="false"/>
        <w:ind w:hanging="0" w:start="0"/>
        <w:rPr>
          <w:color w:val="000000"/>
          <w:sz w:val="24"/>
          <w:lang w:val="en-US"/>
        </w:rPr>
      </w:pPr>
      <w:r>
        <w:rPr>
          <w:color w:val="000000"/>
          <w:sz w:val="24"/>
          <w:lang w:val="en-US"/>
        </w:rPr>
      </w:r>
    </w:p>
    <w:p>
      <w:pPr>
        <w:pStyle w:val="Heading3"/>
        <w:autoSpaceDE w:val="false"/>
        <w:ind w:hanging="0" w:start="0"/>
        <w:rPr/>
      </w:pPr>
      <w:r>
        <w:rPr/>
        <w:t xml:space="preserve">France </w:t>
      </w:r>
    </w:p>
    <w:p>
      <w:pPr>
        <w:pStyle w:val="Normal"/>
        <w:numPr>
          <w:ilvl w:val="0"/>
          <w:numId w:val="7"/>
        </w:numPr>
        <w:spacing w:lineRule="atLeast" w:line="240"/>
        <w:jc w:val="both"/>
        <w:rPr>
          <w:rFonts w:ascii="Helv;Arial" w:hAnsi="Helv;Arial" w:cs="Helv;Arial"/>
          <w:color w:val="000000"/>
          <w:lang w:val="en-AU"/>
        </w:rPr>
      </w:pPr>
      <w:r>
        <w:rPr>
          <w:color w:val="000000"/>
          <w:sz w:val="24"/>
          <w:lang w:val="en-US"/>
        </w:rPr>
        <w:t>The CRE will be hearing EFET on gas TPA and transport issues on December 13. A questionnaire has been issued by the CRE to be completed by EFET by December 8.</w:t>
      </w:r>
    </w:p>
    <w:p>
      <w:pPr>
        <w:pStyle w:val="Normal"/>
        <w:numPr>
          <w:ilvl w:val="0"/>
          <w:numId w:val="7"/>
        </w:numPr>
        <w:spacing w:lineRule="atLeast" w:line="240"/>
        <w:jc w:val="both"/>
        <w:rPr>
          <w:rFonts w:ascii="Helv;Arial" w:hAnsi="Helv;Arial" w:cs="Helv;Arial"/>
          <w:color w:val="000000"/>
          <w:lang w:val="en-AU"/>
        </w:rPr>
      </w:pPr>
      <w:r>
        <w:rPr>
          <w:color w:val="000000"/>
          <w:sz w:val="24"/>
          <w:lang w:val="en-US"/>
        </w:rPr>
        <w:t xml:space="preserve">We have been invited by French energy agency ADEME to give a paper during a French wind energy colloquium to be held in Narbonne from 7-9 December, describing the new German Renewable Energy Law and the most recent development of wind energy.  A new support scheme for renewables in France, including minimum prices for each technology, is to be expected shortly thereafter. </w:t>
      </w:r>
    </w:p>
    <w:p>
      <w:pPr>
        <w:pStyle w:val="Heading3"/>
        <w:ind w:hanging="0" w:start="0"/>
        <w:jc w:val="both"/>
        <w:rPr>
          <w:rFonts w:ascii="Helv;Arial" w:hAnsi="Helv;Arial" w:cs="Helv;Arial"/>
          <w:bCs/>
          <w:color w:val="000000"/>
          <w:lang w:val="en-AU"/>
        </w:rPr>
      </w:pPr>
      <w:r>
        <w:rPr>
          <w:rFonts w:cs="Helv;Arial" w:ascii="Helv;Arial" w:hAnsi="Helv;Arial"/>
          <w:bCs/>
          <w:color w:val="000000"/>
          <w:lang w:val="en-AU"/>
        </w:rPr>
      </w:r>
    </w:p>
    <w:p>
      <w:pPr>
        <w:pStyle w:val="Heading3"/>
        <w:ind w:hanging="0" w:start="0"/>
        <w:jc w:val="both"/>
        <w:rPr>
          <w:bCs/>
        </w:rPr>
      </w:pPr>
      <w:r>
        <w:rPr>
          <w:bCs/>
        </w:rPr>
        <w:t>Spain</w:t>
      </w:r>
    </w:p>
    <w:p>
      <w:pPr>
        <w:pStyle w:val="Normal"/>
        <w:numPr>
          <w:ilvl w:val="0"/>
          <w:numId w:val="6"/>
        </w:numPr>
        <w:autoSpaceDE w:val="false"/>
        <w:spacing w:lineRule="atLeast" w:line="240"/>
        <w:jc w:val="both"/>
        <w:rPr>
          <w:color w:val="000000"/>
          <w:sz w:val="24"/>
          <w:lang w:val="en-US"/>
        </w:rPr>
      </w:pPr>
      <w:r>
        <w:rPr>
          <w:color w:val="000000"/>
          <w:sz w:val="24"/>
          <w:lang w:val="en-US"/>
        </w:rPr>
        <w:t>We held a preparatory meeting with the Vice President and Minister of Economy's cabinet for the meeting to be held with the Vice President himself on 11 Dec. In the meeting, we have stressed a list of regulatory developments are urgently needed in Spain, both for new power plants and commercialisation. We are also focusing on explaining Enron's concept of operating in markets worldwide, in order to increase the understanding and receptivity of the Vice president.</w:t>
      </w:r>
    </w:p>
    <w:p>
      <w:pPr>
        <w:pStyle w:val="Normal"/>
        <w:autoSpaceDE w:val="false"/>
        <w:spacing w:lineRule="atLeast" w:line="240"/>
        <w:jc w:val="both"/>
        <w:rPr>
          <w:b/>
          <w:bCs/>
          <w:color w:val="000000"/>
          <w:sz w:val="24"/>
          <w:lang w:val="en-US"/>
        </w:rPr>
      </w:pPr>
      <w:r>
        <w:rPr>
          <w:b/>
          <w:bCs/>
          <w:color w:val="000000"/>
          <w:sz w:val="24"/>
          <w:lang w:val="en-US"/>
        </w:rPr>
      </w:r>
    </w:p>
    <w:p>
      <w:pPr>
        <w:pStyle w:val="Normal"/>
        <w:autoSpaceDE w:val="false"/>
        <w:spacing w:lineRule="atLeast" w:line="240"/>
        <w:jc w:val="both"/>
        <w:rPr>
          <w:color w:val="000000"/>
          <w:sz w:val="24"/>
          <w:lang w:val="en-US"/>
        </w:rPr>
      </w:pPr>
      <w:r>
        <w:rPr>
          <w:b/>
          <w:bCs/>
          <w:color w:val="000000"/>
          <w:sz w:val="24"/>
          <w:lang w:val="en-US"/>
        </w:rPr>
        <w:t>Italy</w:t>
      </w:r>
    </w:p>
    <w:p>
      <w:pPr>
        <w:pStyle w:val="Normal"/>
        <w:numPr>
          <w:ilvl w:val="0"/>
          <w:numId w:val="6"/>
        </w:numPr>
        <w:autoSpaceDE w:val="false"/>
        <w:spacing w:lineRule="atLeast" w:line="240"/>
        <w:jc w:val="both"/>
        <w:rPr>
          <w:color w:val="000000"/>
          <w:sz w:val="24"/>
          <w:lang w:val="en-US"/>
        </w:rPr>
      </w:pPr>
      <w:r>
        <w:rPr>
          <w:color w:val="000000"/>
          <w:sz w:val="24"/>
          <w:lang w:val="en-US"/>
        </w:rPr>
        <w:t>We held a meeting of the council of directors of the Italian Assoc of Traders to discuss a common position on the suspension of the regulations regarding the allocation of import capacity for 2001. A declaration supporting the regulations was agreed, plus some implementation recommendations necessary to move ahead in case the suspension is lifted and the deadline of 31 Dec is to be met.</w:t>
      </w:r>
    </w:p>
    <w:p>
      <w:pPr>
        <w:pStyle w:val="Heading3"/>
        <w:ind w:hanging="0" w:start="0"/>
        <w:rPr>
          <w:color w:val="000000"/>
          <w:sz w:val="24"/>
          <w:lang w:val="en-US"/>
        </w:rPr>
      </w:pPr>
      <w:r>
        <w:rPr>
          <w:color w:val="000000"/>
          <w:sz w:val="24"/>
          <w:lang w:val="en-US"/>
        </w:rPr>
      </w:r>
    </w:p>
    <w:p>
      <w:pPr>
        <w:pStyle w:val="Heading3"/>
        <w:ind w:hanging="0" w:start="0"/>
        <w:rPr/>
      </w:pPr>
      <w:r>
        <w:rPr/>
        <w:t>Greece</w:t>
      </w:r>
    </w:p>
    <w:p>
      <w:pPr>
        <w:pStyle w:val="Normal"/>
        <w:numPr>
          <w:ilvl w:val="0"/>
          <w:numId w:val="4"/>
        </w:numPr>
        <w:autoSpaceDE w:val="false"/>
        <w:spacing w:lineRule="atLeast" w:line="240"/>
        <w:jc w:val="both"/>
        <w:rPr>
          <w:color w:val="000000"/>
          <w:sz w:val="24"/>
          <w:lang w:val="en-US"/>
        </w:rPr>
      </w:pPr>
      <w:r>
        <w:rPr>
          <w:color w:val="000000"/>
          <w:sz w:val="24"/>
          <w:lang w:val="en-US"/>
        </w:rPr>
        <w:t>We met with the Greek regulator on 23 November.  He clarified that the requirement to own generation assets to participate in the Greek market was a fundamental requirement of the primary legislation.  The asset must be located in Greece, or elsewhere in EU either with confirmed transmission capacity to Greece (which is impossible prior to the opening of the Italian interconnector in late 2001) or via a basis swap with FR Yugoslavia.  The stated reason for this is to protect security of supply which we discussed at length.  The formal English translation of the energy law, together with a draft of the proposed trading arrangements will be available in the next two weeks.</w:t>
      </w:r>
    </w:p>
    <w:p>
      <w:pPr>
        <w:pStyle w:val="Normal"/>
        <w:numPr>
          <w:ilvl w:val="0"/>
          <w:numId w:val="4"/>
        </w:numPr>
        <w:autoSpaceDE w:val="false"/>
        <w:spacing w:lineRule="atLeast" w:line="240"/>
        <w:jc w:val="both"/>
        <w:rPr>
          <w:color w:val="000000"/>
          <w:sz w:val="24"/>
          <w:lang w:val="en-US"/>
        </w:rPr>
      </w:pPr>
      <w:r>
        <w:rPr>
          <w:color w:val="000000"/>
          <w:sz w:val="24"/>
          <w:lang w:val="en-US"/>
        </w:rPr>
        <w:t>We had previously met with the electricity company PPC and transmission system operator HTSO to seek a formal invitation to be included in their tender to purchase winter power supply and identify potential transmission routes through Serbia.</w:t>
      </w:r>
    </w:p>
    <w:p>
      <w:pPr>
        <w:pStyle w:val="Heading4"/>
        <w:autoSpaceDE w:val="false"/>
        <w:ind w:hanging="0" w:start="0"/>
        <w:rPr>
          <w:bCs/>
          <w:color w:val="000000"/>
          <w:sz w:val="24"/>
          <w:lang w:val="en-US"/>
        </w:rPr>
      </w:pPr>
      <w:r>
        <w:rPr>
          <w:bCs/>
          <w:color w:val="000000"/>
          <w:sz w:val="24"/>
          <w:lang w:val="en-US"/>
        </w:rPr>
      </w:r>
    </w:p>
    <w:p>
      <w:pPr>
        <w:pStyle w:val="Heading4"/>
        <w:autoSpaceDE w:val="false"/>
        <w:ind w:hanging="0" w:start="0"/>
        <w:rPr>
          <w:bCs/>
          <w:lang w:val="en-US"/>
        </w:rPr>
      </w:pPr>
      <w:r>
        <w:rPr>
          <w:bCs/>
          <w:lang w:val="en-US"/>
        </w:rPr>
        <w:t>FYR Macedonia</w:t>
      </w:r>
    </w:p>
    <w:p>
      <w:pPr>
        <w:pStyle w:val="Normal"/>
        <w:numPr>
          <w:ilvl w:val="0"/>
          <w:numId w:val="4"/>
        </w:numPr>
        <w:autoSpaceDE w:val="false"/>
        <w:spacing w:lineRule="atLeast" w:line="240"/>
        <w:jc w:val="both"/>
        <w:rPr>
          <w:color w:val="000000"/>
          <w:sz w:val="24"/>
          <w:lang w:val="en-US"/>
        </w:rPr>
      </w:pPr>
      <w:r>
        <w:rPr>
          <w:color w:val="000000"/>
          <w:sz w:val="24"/>
          <w:lang w:val="en-US"/>
        </w:rPr>
        <w:t>We met with electricity company ESM to discuss trading opportunities in the Balkans and a privatisation strategy advocated by consultants Consulectra.</w:t>
      </w:r>
    </w:p>
    <w:p>
      <w:pPr>
        <w:pStyle w:val="Normal"/>
        <w:spacing w:lineRule="atLeast" w:line="240"/>
        <w:rPr>
          <w:rFonts w:ascii="Helv;Arial" w:hAnsi="Helv;Arial" w:cs="Helv;Arial"/>
          <w:color w:val="000000"/>
          <w:sz w:val="24"/>
          <w:lang w:val="en-AU"/>
        </w:rPr>
      </w:pPr>
      <w:r>
        <w:rPr>
          <w:rFonts w:cs="Helv;Arial" w:ascii="Helv;Arial" w:hAnsi="Helv;Arial"/>
          <w:color w:val="000000"/>
          <w:sz w:val="24"/>
          <w:lang w:val="en-AU"/>
        </w:rPr>
      </w:r>
    </w:p>
    <w:p>
      <w:pPr>
        <w:pStyle w:val="Normal"/>
        <w:spacing w:lineRule="atLeast" w:line="240"/>
        <w:rPr>
          <w:rFonts w:ascii="Helv;Arial" w:hAnsi="Helv;Arial" w:cs="Helv;Arial"/>
          <w:color w:val="000000"/>
          <w:lang w:val="en-AU"/>
        </w:rPr>
      </w:pPr>
      <w:r>
        <w:rPr>
          <w:rFonts w:cs="Helv;Arial" w:ascii="Helv;Arial" w:hAnsi="Helv;Arial"/>
          <w:color w:val="000000"/>
          <w:lang w:val="en-AU"/>
        </w:rPr>
      </w:r>
    </w:p>
    <w:p>
      <w:pPr>
        <w:pStyle w:val="Normal"/>
        <w:spacing w:lineRule="atLeast" w:line="240"/>
        <w:rPr>
          <w:rFonts w:ascii="Helv;Arial" w:hAnsi="Helv;Arial" w:cs="Helv;Arial"/>
          <w:color w:val="000000"/>
          <w:lang w:val="en-AU"/>
        </w:rPr>
      </w:pPr>
      <w:r>
        <w:rPr>
          <w:rFonts w:cs="Helv;Arial" w:ascii="Helv;Arial" w:hAnsi="Helv;Arial"/>
          <w:color w:val="000000"/>
          <w:lang w:val="en-AU"/>
        </w:rPr>
      </w:r>
    </w:p>
    <w:p>
      <w:pPr>
        <w:pStyle w:val="Normal"/>
        <w:spacing w:lineRule="atLeast" w:line="240"/>
        <w:rPr>
          <w:rFonts w:ascii="Helv;Arial" w:hAnsi="Helv;Arial" w:cs="Helv;Arial"/>
          <w:color w:val="000000"/>
          <w:lang w:val="en-AU"/>
        </w:rPr>
      </w:pPr>
      <w:r>
        <w:rPr>
          <w:rFonts w:cs="Helv;Arial" w:ascii="Helv;Arial" w:hAnsi="Helv;Arial"/>
          <w:color w:val="000000"/>
          <w:lang w:val="en-AU"/>
        </w:rPr>
      </w:r>
    </w:p>
    <w:p>
      <w:pPr>
        <w:pStyle w:val="Normal"/>
        <w:spacing w:lineRule="atLeast" w:line="240"/>
        <w:rPr>
          <w:rFonts w:ascii="Helv;Arial" w:hAnsi="Helv;Arial" w:cs="Helv;Arial"/>
          <w:color w:val="000000"/>
          <w:lang w:val="en-AU"/>
        </w:rPr>
      </w:pPr>
      <w:r>
        <w:rPr>
          <w:rFonts w:cs="Helv;Arial" w:ascii="Helv;Arial" w:hAnsi="Helv;Arial"/>
          <w:color w:val="000000"/>
          <w:lang w:val="en-AU"/>
        </w:rPr>
      </w:r>
    </w:p>
    <w:p>
      <w:pPr>
        <w:pStyle w:val="Normal"/>
        <w:spacing w:lineRule="atLeast" w:line="240"/>
        <w:rPr>
          <w:rFonts w:ascii="Helv;Arial" w:hAnsi="Helv;Arial" w:cs="Helv;Arial"/>
          <w:color w:val="000000"/>
          <w:lang w:val="en-AU"/>
        </w:rPr>
      </w:pPr>
      <w:r>
        <w:rPr>
          <w:rFonts w:cs="Helv;Arial" w:ascii="Helv;Arial" w:hAnsi="Helv;Arial"/>
          <w:color w:val="000000"/>
          <w:lang w:val="en-AU"/>
        </w:rPr>
      </w:r>
    </w:p>
    <w:p>
      <w:pPr>
        <w:pStyle w:val="Normal"/>
        <w:spacing w:lineRule="atLeast" w:line="240"/>
        <w:rPr>
          <w:rFonts w:ascii="Helv;Arial" w:hAnsi="Helv;Arial" w:cs="Helv;Arial"/>
          <w:color w:val="000000"/>
          <w:lang w:val="en-AU"/>
        </w:rPr>
      </w:pPr>
      <w:r>
        <w:rPr>
          <w:rFonts w:cs="Helv;Arial" w:ascii="Helv;Arial" w:hAnsi="Helv;Arial"/>
          <w:color w:val="000000"/>
          <w:lang w:val="en-AU"/>
        </w:rPr>
      </w:r>
    </w:p>
    <w:p>
      <w:pPr>
        <w:pStyle w:val="Normal"/>
        <w:spacing w:lineRule="atLeast" w:line="240"/>
        <w:rPr>
          <w:rFonts w:ascii="Helv;Arial" w:hAnsi="Helv;Arial" w:cs="Helv;Arial"/>
          <w:color w:val="000000"/>
          <w:lang w:val="en-AU"/>
        </w:rPr>
      </w:pPr>
      <w:r>
        <w:rPr>
          <w:rFonts w:cs="Helv;Arial" w:ascii="Helv;Arial" w:hAnsi="Helv;Arial"/>
          <w:color w:val="000000"/>
          <w:lang w:val="en-AU"/>
        </w:rPr>
      </w:r>
    </w:p>
    <w:p>
      <w:pPr>
        <w:pStyle w:val="Normal"/>
        <w:spacing w:lineRule="atLeast" w:line="240"/>
        <w:jc w:val="both"/>
        <w:rPr>
          <w:rFonts w:ascii="Helv;Arial" w:hAnsi="Helv;Arial" w:cs="Helv;Arial"/>
          <w:b/>
          <w:color w:val="000000"/>
          <w:sz w:val="24"/>
          <w:lang w:val="en-AU"/>
        </w:rPr>
      </w:pPr>
      <w:r>
        <w:rPr>
          <w:rFonts w:cs="Helv;Arial" w:ascii="Helv;Arial" w:hAnsi="Helv;Arial"/>
          <w:b/>
          <w:color w:val="000000"/>
          <w:sz w:val="24"/>
          <w:lang w:val="en-AU"/>
        </w:rPr>
      </w:r>
    </w:p>
    <w:p>
      <w:pPr>
        <w:pStyle w:val="Normal"/>
        <w:spacing w:lineRule="atLeast" w:line="240"/>
        <w:jc w:val="both"/>
        <w:rPr>
          <w:b/>
          <w:color w:val="000000"/>
          <w:sz w:val="24"/>
          <w:lang w:val="en-AU"/>
        </w:rPr>
      </w:pPr>
      <w:r>
        <w:rPr>
          <w:b/>
          <w:color w:val="000000"/>
          <w:sz w:val="24"/>
          <w:lang w:val="en-AU"/>
        </w:rPr>
        <w:t>Distribution</w:t>
      </w:r>
    </w:p>
    <w:p>
      <w:pPr>
        <w:pStyle w:val="Normal"/>
        <w:spacing w:lineRule="atLeast" w:line="240"/>
        <w:jc w:val="both"/>
        <w:rPr>
          <w:b/>
          <w:color w:val="000000"/>
          <w:sz w:val="24"/>
          <w:lang w:val="en-AU"/>
        </w:rPr>
      </w:pPr>
      <w:r>
        <w:rPr>
          <w:b/>
          <w:color w:val="000000"/>
          <w:sz w:val="24"/>
          <w:lang w:val="en-AU"/>
        </w:rPr>
      </w:r>
    </w:p>
    <w:tbl>
      <w:tblPr>
        <w:tblW w:w="8520" w:type="dxa"/>
        <w:jc w:val="start"/>
        <w:tblInd w:w="0" w:type="dxa"/>
        <w:tblLayout w:type="fixed"/>
        <w:tblCellMar>
          <w:top w:w="0" w:type="dxa"/>
          <w:start w:w="108" w:type="dxa"/>
          <w:bottom w:w="0" w:type="dxa"/>
          <w:end w:w="108" w:type="dxa"/>
        </w:tblCellMar>
      </w:tblPr>
      <w:tblGrid>
        <w:gridCol w:w="2840"/>
        <w:gridCol w:w="2840"/>
        <w:gridCol w:w="2840"/>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Govt Affairs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Jarek Astramowicz</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 Bortolotti</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Dan Badger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Justin Boyd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Michael R Brown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Alan Black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Jon Chapman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Chivers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Mary Nell Browning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Evans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Andreas Wagner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Elliott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Frevert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Eric Gadd</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Viviana Florio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Joe Gold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Haedicke</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Jackie Gentle</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Joe Hillings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Steven J Kean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Richard Harper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TLien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Elizabeth Linnell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Tom Kearney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 Long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Christopher McKey</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Katie Lomax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Keith Miller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Muller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Mead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Lindolfo Ernesto Paixao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Roy Poyntz</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Earlene O'Connell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Robert Quick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Martin Rosell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 Presiaux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Matthew Scrimshaw</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Simons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Robert Saltiel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Stuart Staley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Bruce Stram</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John Sherriff</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Marcus Von Bock Und Polach</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Christoph Waltenspuel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Tim Underdown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4"/>
                <w:lang w:val="en-AU"/>
              </w:rPr>
            </w:pPr>
            <w:r>
              <w:rPr>
                <w:color w:val="000000"/>
                <w:sz w:val="24"/>
                <w:lang w:val="en-AU"/>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4"/>
                <w:lang w:val="en-AU"/>
              </w:rPr>
            </w:pPr>
            <w:r>
              <w:rPr>
                <w:color w:val="000000"/>
                <w:sz w:val="24"/>
                <w:lang w:val="en-AU"/>
              </w:rPr>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color w:val="000000"/>
                <w:sz w:val="24"/>
                <w:lang w:val="en-AU"/>
              </w:rPr>
              <w:t>Jane Wilson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r>
    </w:tbl>
    <w:p>
      <w:pPr>
        <w:pStyle w:val="Normal"/>
        <w:jc w:val="both"/>
        <w:rPr>
          <w:sz w:val="24"/>
        </w:rPr>
      </w:pPr>
      <w:r>
        <w:rPr>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sz w:val="22"/>
      <w:lang w:val="en-AU"/>
    </w:rPr>
  </w:style>
  <w:style w:type="paragraph" w:styleId="Heading2">
    <w:name w:val="heading 2"/>
    <w:basedOn w:val="Normal"/>
    <w:next w:val="Normal"/>
    <w:qFormat/>
    <w:pPr>
      <w:keepNext w:val="true"/>
      <w:numPr>
        <w:ilvl w:val="1"/>
        <w:numId w:val="1"/>
      </w:numPr>
      <w:spacing w:lineRule="atLeast" w:line="240"/>
      <w:outlineLvl w:val="1"/>
    </w:pPr>
    <w:rPr>
      <w:color w:val="000000"/>
      <w:sz w:val="24"/>
      <w:lang w:val="en-AU"/>
    </w:rPr>
  </w:style>
  <w:style w:type="paragraph" w:styleId="Heading3">
    <w:name w:val="heading 3"/>
    <w:basedOn w:val="Normal"/>
    <w:next w:val="Normal"/>
    <w:qFormat/>
    <w:pPr>
      <w:keepNext w:val="true"/>
      <w:numPr>
        <w:ilvl w:val="2"/>
        <w:numId w:val="1"/>
      </w:numPr>
      <w:spacing w:lineRule="atLeast" w:line="240"/>
      <w:outlineLvl w:val="2"/>
    </w:pPr>
    <w:rPr>
      <w:b/>
      <w:color w:val="000000"/>
      <w:sz w:val="24"/>
      <w:lang w:val="en-AU"/>
    </w:rPr>
  </w:style>
  <w:style w:type="paragraph" w:styleId="Heading4">
    <w:name w:val="heading 4"/>
    <w:basedOn w:val="Normal"/>
    <w:next w:val="Normal"/>
    <w:qFormat/>
    <w:pPr>
      <w:keepNext w:val="true"/>
      <w:numPr>
        <w:ilvl w:val="3"/>
        <w:numId w:val="1"/>
      </w:numPr>
      <w:spacing w:lineRule="atLeast" w:line="240"/>
      <w:jc w:val="both"/>
      <w:outlineLvl w:val="3"/>
    </w:pPr>
    <w:rPr>
      <w:b/>
      <w:color w:val="000000"/>
      <w:sz w:val="24"/>
      <w:lang w:val="en-AU"/>
    </w:rPr>
  </w:style>
  <w:style w:type="paragraph" w:styleId="Heading5">
    <w:name w:val="heading 5"/>
    <w:basedOn w:val="Normal"/>
    <w:next w:val="Normal"/>
    <w:qFormat/>
    <w:pPr>
      <w:keepNext w:val="true"/>
      <w:numPr>
        <w:ilvl w:val="4"/>
        <w:numId w:val="1"/>
      </w:numPr>
      <w:jc w:val="both"/>
      <w:outlineLvl w:val="4"/>
    </w:pPr>
    <w:rPr>
      <w:b/>
      <w:sz w:val="24"/>
    </w:rPr>
  </w:style>
  <w:style w:type="paragraph" w:styleId="Heading6">
    <w:name w:val="heading 6"/>
    <w:basedOn w:val="Normal"/>
    <w:next w:val="Normal"/>
    <w:qFormat/>
    <w:pPr>
      <w:keepNext w:val="true"/>
      <w:numPr>
        <w:ilvl w:val="5"/>
        <w:numId w:val="1"/>
      </w:numPr>
      <w:spacing w:lineRule="atLeast" w:line="240"/>
      <w:outlineLvl w:val="5"/>
    </w:pPr>
    <w:rPr>
      <w:rFonts w:ascii="Helv;Arial" w:hAnsi="Helv;Arial" w:cs="Helv;Arial"/>
      <w:b/>
      <w:color w:val="000000"/>
      <w:lang w:val="en-AU"/>
    </w:rPr>
  </w:style>
  <w:style w:type="paragraph" w:styleId="Heading7">
    <w:name w:val="heading 7"/>
    <w:basedOn w:val="Normal"/>
    <w:next w:val="Normal"/>
    <w:qFormat/>
    <w:pPr>
      <w:keepNext w:val="true"/>
      <w:numPr>
        <w:ilvl w:val="6"/>
        <w:numId w:val="1"/>
      </w:numPr>
      <w:autoSpaceDE w:val="false"/>
      <w:spacing w:lineRule="atLeast" w:line="240"/>
      <w:outlineLvl w:val="6"/>
    </w:pPr>
    <w:rPr>
      <w:b/>
      <w:bCs/>
      <w:color w:val="000000"/>
      <w:sz w:val="24"/>
      <w:u w:val="single"/>
      <w:lang w:val="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Times New Roman" w:hAnsi="Times New Roman" w:eastAsia="Times New Roman" w:cs="Times New Roman"/>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Times New Roman" w:hAnsi="Times New Roman" w:cs="Times New Roman"/>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Times New Roman" w:hAnsi="Times New Roman" w:cs="Times New Roman"/>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pPr>
    <w:rPr>
      <w:color w:val="000000"/>
      <w:sz w:val="22"/>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color w:val="000000"/>
      <w:sz w:val="24"/>
      <w:lang w:val="en-AU"/>
    </w:rPr>
  </w:style>
  <w:style w:type="paragraph" w:styleId="BodyText3">
    <w:name w:val="Body Text 3"/>
    <w:basedOn w:val="Normal"/>
    <w:qFormat/>
    <w:pPr>
      <w:spacing w:lineRule="atLeast" w:line="240"/>
      <w:jc w:val="both"/>
    </w:pPr>
    <w:rPr>
      <w:color w:val="000000"/>
      <w:sz w:val="24"/>
      <w:lang w:val="en-AU"/>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2000-11-29T12:18:00Z</dcterms:created>
  <dc:creator>SEvans2</dc:creator>
  <dc:description/>
  <dc:language>en-CA</dc:language>
  <cp:lastModifiedBy>bashcrof</cp:lastModifiedBy>
  <cp:lastPrinted>2000-11-30T11:46:00Z</cp:lastPrinted>
  <dcterms:modified xsi:type="dcterms:W3CDTF">2000-11-30T09:18:00Z</dcterms:modified>
  <cp:revision>4</cp:revision>
  <dc:subject/>
  <dc:title>Weekly Report </dc:title>
</cp:coreProperties>
</file>