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rPr>
      </w:pPr>
      <w:r>
        <w:rPr>
          <w:b/>
        </w:rPr>
        <w:t>DUKE CAPITAL CORPORATION</w:t>
      </w:r>
    </w:p>
    <w:p>
      <w:pPr>
        <w:pStyle w:val="Normal"/>
        <w:ind w:end="720"/>
        <w:jc w:val="center"/>
        <w:rPr>
          <w:b/>
        </w:rPr>
      </w:pPr>
      <w:r>
        <w:rPr>
          <w:b/>
        </w:rPr>
      </w:r>
    </w:p>
    <w:p>
      <w:pPr>
        <w:pStyle w:val="Normal"/>
        <w:spacing w:lineRule="exact" w:line="240"/>
        <w:ind w:end="720"/>
        <w:jc w:val="center"/>
        <w:rPr>
          <w:u w:val="single"/>
        </w:rPr>
      </w:pPr>
      <w:r>
        <w:rPr>
          <w:u w:val="single"/>
        </w:rPr>
        <w:t>Guaranty</w:t>
      </w:r>
    </w:p>
    <w:p>
      <w:pPr>
        <w:pStyle w:val="Normal"/>
        <w:ind w:end="720"/>
        <w:jc w:val="both"/>
        <w:rPr/>
      </w:pPr>
      <w:r>
        <w:rPr/>
      </w:r>
    </w:p>
    <w:p>
      <w:pPr>
        <w:pStyle w:val="Normal"/>
        <w:ind w:end="720"/>
        <w:jc w:val="both"/>
        <w:rPr/>
      </w:pPr>
      <w:r>
        <w:rPr/>
      </w:r>
    </w:p>
    <w:p>
      <w:pPr>
        <w:pStyle w:val="Normal"/>
        <w:spacing w:lineRule="atLeast" w:line="240"/>
        <w:ind w:firstLine="720" w:end="0"/>
        <w:jc w:val="both"/>
        <w:rPr/>
      </w:pPr>
      <w:r>
        <w:rPr/>
        <w:t xml:space="preserve">This Guaranty (the “Guaranty”), dated as of </w:t>
      </w:r>
      <w:r>
        <w:rPr>
          <w:u w:val="single"/>
        </w:rPr>
        <w:tab/>
        <w:tab/>
        <w:tab/>
      </w:r>
      <w:r>
        <w:rPr/>
        <w:t>, 199</w:t>
      </w:r>
      <w:r>
        <w:rPr>
          <w:u w:val="single"/>
        </w:rPr>
        <w:tab/>
      </w:r>
      <w:r>
        <w:rPr/>
        <w:t>, is made and entered into by DUKE CAPITAL CORPORATION, a Delaware corporation (“Guarantor”).</w:t>
      </w:r>
    </w:p>
    <w:p>
      <w:pPr>
        <w:pStyle w:val="Normal"/>
        <w:spacing w:lineRule="atLeast" w:line="240"/>
        <w:jc w:val="both"/>
        <w:rPr/>
      </w:pPr>
      <w:r>
        <w:rPr/>
      </w:r>
    </w:p>
    <w:p>
      <w:pPr>
        <w:pStyle w:val="Normal"/>
        <w:keepNext w:val="true"/>
        <w:spacing w:lineRule="atLeast" w:line="240"/>
        <w:jc w:val="center"/>
        <w:rPr>
          <w:b/>
          <w:caps/>
        </w:rPr>
      </w:pPr>
      <w:r>
        <w:rPr>
          <w:b/>
          <w:caps/>
        </w:rPr>
        <w:t>W I T N E S S E T H:</w:t>
      </w:r>
    </w:p>
    <w:p>
      <w:pPr>
        <w:pStyle w:val="Normal"/>
        <w:spacing w:lineRule="atLeast" w:line="240"/>
        <w:jc w:val="both"/>
        <w:rPr>
          <w:b/>
          <w:caps/>
        </w:rPr>
      </w:pPr>
      <w:r>
        <w:rPr>
          <w:b/>
          <w:caps/>
        </w:rPr>
      </w:r>
    </w:p>
    <w:p>
      <w:pPr>
        <w:pStyle w:val="Normal"/>
        <w:spacing w:lineRule="atLeast" w:line="240"/>
        <w:ind w:firstLine="720" w:end="0"/>
        <w:jc w:val="both"/>
        <w:rPr/>
      </w:pPr>
      <w:r>
        <w:rPr/>
        <w:t xml:space="preserve">WHEREAS, DUKE ENERGY INTERNATIONAL, L.L.C., a wholly owned subsidiary of Guarantor (“Guaranteed Party”) and </w:t>
      </w:r>
      <w:r>
        <w:rPr>
          <w:caps/>
        </w:rPr>
        <w:t>Enron Capital &amp; Trade Resources Corp.</w:t>
      </w:r>
      <w:r>
        <w:rPr/>
        <w:t xml:space="preserve">, a Delaware corporation (“ECT”), are contemplating entering into a Master Agreement of even date herewith, a copy of which is attached hereto as </w:t>
      </w:r>
      <w:r>
        <w:rPr>
          <w:u w:val="single"/>
        </w:rPr>
        <w:t>Exhibit A</w:t>
      </w:r>
      <w:r>
        <w:rPr/>
        <w:t xml:space="preserve"> (such Master Agreement, as the same may from time to time be modified, amended and supplemented, shall be referred to herein as the “Contract”);</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transactions to be entered into between ECT and Guaranteed 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ECT entering into the Contract,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(a) Guarantor hereby irrevocably and unconditionally guarantees the timely payment when due of the obligations of Guaranteed Party (the “Obligations”) to  ECT under the Contract, and (b) to the extent that Guaranteed Party shall fail to pay any Obligation, Guarantor shall promptly pay to ECT the amount due.  This Guaranty shall constitute a guarantee of payment and not of collection.  Guarantor further agrees that in the event the Obligations which are guaranteed hereunder are paid, its liability as Guarantor shall continue and remain in full force and effect in the event that all or any part of such payments are recovered from ECT as a preference or fraudulent transfer under the Federal Bankruptcy Code, or any applicable state law.  The liability of Guarantor under the Guaranty shall be subject to the following:</w:t>
      </w:r>
    </w:p>
    <w:p>
      <w:pPr>
        <w:pStyle w:val="Normal"/>
        <w:spacing w:lineRule="exact" w:line="240" w:before="240" w:after="0"/>
        <w:ind w:start="720" w:end="0"/>
        <w:jc w:val="both"/>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
        <w:widowControl/>
        <w:spacing w:before="240" w:after="0"/>
        <w:rPr/>
      </w:pPr>
      <w:r>
        <w:rPr/>
        <w:t>(b)  The aggregate amount covered by this Guaranty shall not exceed U.S. $15,000,000.</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The Guarantor agrees to pay on demand all reasonable out-of-pocket expenses (including the reasonable fees and expenses of ECT’s counsel) in any way relating to the enforcement or collection of amounts due and payable under this Guaranty; provided, that the Guarantor shall not be liable for any expenses of ECT if no payment under this Guaranty is due.  A payment demand to Guarantor shall be in writing and shall reasonably and briefly specify in what manner and what amount Guaranteed Party has failed to pay and an explanation of why such payment is due, with a specific statement that  ECT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Guaranteed Party or Guarantor has cured such default, and additional written demands concerning such default shall not be required until such default is cured.</w:t>
      </w:r>
      <w:r>
        <w:br w:type="page"/>
      </w:r>
    </w:p>
    <w:p>
      <w:pPr>
        <w:pStyle w:val="Normal"/>
        <w:spacing w:lineRule="atLeast" w:line="240"/>
        <w:ind w:firstLine="720" w:end="0"/>
        <w:jc w:val="both"/>
        <w:rPr/>
      </w:pPr>
      <w:r>
        <w:rPr/>
      </w:r>
    </w:p>
    <w:p>
      <w:pPr>
        <w:pStyle w:val="Normal"/>
        <w:spacing w:lineRule="atLeast" w:line="240"/>
        <w:ind w:firstLine="720" w:end="0"/>
        <w:jc w:val="both"/>
        <w:rPr/>
      </w:pPr>
      <w:r>
        <w:rPr/>
        <w:t xml:space="preserve">3.  </w:t>
      </w:r>
      <w:r>
        <w:rPr>
          <w:u w:val="single"/>
        </w:rPr>
        <w:t>REPRESENTATIONS AND WARRANTIES</w:t>
      </w:r>
      <w:r>
        <w:rPr/>
        <w:t>.  Guarantor represents and warrants that:</w:t>
      </w:r>
    </w:p>
    <w:p>
      <w:pPr>
        <w:pStyle w:val="BodyTextIndent"/>
        <w:widowControl/>
        <w:spacing w:before="240" w:after="0"/>
        <w:rPr/>
      </w:pPr>
      <w:r>
        <w:rPr/>
        <w:t xml:space="preserve">(a)  it is a corporation duly organized and validly existing under the laws of the State of Delaware and has the corporate power and authority to execute, deliver and carry out the terms and provisions of the Guaranty; </w:t>
      </w:r>
    </w:p>
    <w:p>
      <w:pPr>
        <w:pStyle w:val="Normal"/>
        <w:spacing w:lineRule="exact" w:line="240" w:before="240" w:after="0"/>
        <w:ind w:start="72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Guaranteed Party or any other affiliate of Guarantor is or may be entitled to arising from or out of the Contract or otherwise, except for defenses arising out of the bankruptcy, insolvency, dissolution or liquidation of Guaranteed Party.</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ECT.</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Guaranteed Party or any other person, or except as expressly hereinabove set forth, to require that ECT seek enforcement of any performance against Guaranteed Party or any other person, prior to any action against Guarantor under the terms hereof.</w:t>
      </w:r>
    </w:p>
    <w:p>
      <w:pPr>
        <w:pStyle w:val="Normal"/>
        <w:spacing w:lineRule="atLeast" w:line="240"/>
        <w:ind w:firstLine="720" w:end="0"/>
        <w:jc w:val="both"/>
        <w:rPr>
          <w:u w:val="single"/>
        </w:rPr>
      </w:pPr>
      <w:r>
        <w:rPr>
          <w:u w:val="single"/>
        </w:rPr>
      </w:r>
    </w:p>
    <w:p>
      <w:pPr>
        <w:pStyle w:val="Normal"/>
        <w:spacing w:lineRule="atLeast" w:line="240"/>
        <w:ind w:firstLine="720" w:end="0"/>
        <w:jc w:val="both"/>
        <w:rPr/>
      </w:pPr>
      <w:r>
        <w:rPr/>
        <w:t>Except as to applicable statutes of limitation, no delay of  ECT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ECT and upon the effectiveness of such termination, Guarantor shall have no further liability hereunder, except as provided in the last sentence of this paragraph.  No such termination shall be effective until five (5) business days after receipt by ECT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SUBROGATION</w:t>
      </w:r>
      <w:r>
        <w:rPr/>
        <w:t>.  The Guarantor will not exercise any rights which it may acquire by way of subrogation until all the Obligations to  ECT shall have been paid in full.  Subject to the foregoing, upon payment of all the Obligations, the Guarantor shall be subrogated to the rights of  ECT against Guaranteed Party, and ECT agrees to take such steps as the Guarantor may reasonably request, at the Guarantor’s expense, to implement such subrogation.</w:t>
      </w:r>
    </w:p>
    <w:p>
      <w:pPr>
        <w:pStyle w:val="Normal"/>
        <w:spacing w:lineRule="atLeast" w:line="240"/>
        <w:ind w:firstLine="720" w:end="0"/>
        <w:jc w:val="both"/>
        <w:rPr>
          <w:u w:val="single"/>
        </w:rPr>
      </w:pPr>
      <w:r>
        <w:rPr>
          <w:u w:val="single"/>
        </w:rPr>
      </w:r>
    </w:p>
    <w:p>
      <w:pPr>
        <w:pStyle w:val="Normal"/>
        <w:spacing w:lineRule="atLeast" w:line="240"/>
        <w:ind w:firstLine="720" w:end="0"/>
        <w:jc w:val="both"/>
        <w:rPr/>
      </w:pPr>
      <w:r>
        <w:rPr/>
        <w:t xml:space="preserve">8.  </w:t>
      </w:r>
      <w:r>
        <w:rPr>
          <w:u w:val="single"/>
        </w:rPr>
        <w:t>ASSIGNMENT; NON-RECOURSE</w:t>
      </w:r>
      <w:r>
        <w:rPr/>
        <w:t>.  Neither the Guarantor nor ECT may assign its rights, interest or obligations hereunder to any other person without the prior written consent of the Guarantor or  ECT, as the case may be, and any purported assignment absent such consent is void other than pursuant to a merger or consolidation to which Guarantor or ECT is a party.</w:t>
      </w:r>
    </w:p>
    <w:p>
      <w:pPr>
        <w:pStyle w:val="Normal"/>
        <w:spacing w:lineRule="atLeast" w:line="240"/>
        <w:ind w:firstLine="720" w:end="0"/>
        <w:jc w:val="both"/>
        <w:rPr/>
      </w:pPr>
      <w:r>
        <w:rPr/>
      </w:r>
    </w:p>
    <w:p>
      <w:pPr>
        <w:pStyle w:val="Normal"/>
        <w:spacing w:lineRule="atLeast" w:line="240"/>
        <w:ind w:firstLine="720" w:end="0"/>
        <w:jc w:val="both"/>
        <w:rPr/>
      </w:pPr>
      <w:r>
        <w:rPr/>
        <w:t xml:space="preserve">9.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pPr>
      <w:r>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rPr/>
            </w:pPr>
            <w:r>
              <w:rPr/>
              <w:t>To ECT:</w:t>
            </w:r>
          </w:p>
        </w:tc>
        <w:tc>
          <w:tcPr>
            <w:tcW w:w="4302" w:type="dxa"/>
            <w:tcBorders/>
          </w:tcPr>
          <w:p>
            <w:pPr>
              <w:pStyle w:val="Normal"/>
              <w:keepNext w:val="true"/>
              <w:keepLines/>
              <w:spacing w:lineRule="atLeast" w:line="240"/>
              <w:rPr/>
            </w:pPr>
            <w:r>
              <w:rPr/>
              <w:t>Enron Capital &amp; Trade Resources Corp.</w:t>
            </w:r>
          </w:p>
        </w:tc>
        <w:tc>
          <w:tcPr>
            <w:tcW w:w="1618" w:type="dxa"/>
            <w:tcBorders/>
          </w:tcPr>
          <w:p>
            <w:pPr>
              <w:pStyle w:val="Normal"/>
              <w:keepNext w:val="true"/>
              <w:keepLines/>
              <w:spacing w:lineRule="atLeast" w:line="240"/>
              <w:rPr/>
            </w:pPr>
            <w:r>
              <w:rPr/>
              <w:t>To Guarantor:</w:t>
            </w:r>
          </w:p>
        </w:tc>
        <w:tc>
          <w:tcPr>
            <w:tcW w:w="3530" w:type="dxa"/>
            <w:tcBorders/>
          </w:tcPr>
          <w:p>
            <w:pPr>
              <w:pStyle w:val="Normal"/>
              <w:keepNext w:val="true"/>
              <w:keepLines/>
              <w:tabs>
                <w:tab w:val="clear" w:pos="720"/>
                <w:tab w:val="right" w:pos="2988" w:leader="none"/>
              </w:tabs>
              <w:spacing w:lineRule="atLeast" w:line="240"/>
              <w:rPr/>
            </w:pPr>
            <w:r>
              <w:rPr/>
              <w:t>Duke Capital Corporation</w:t>
            </w:r>
          </w:p>
        </w:tc>
      </w:tr>
      <w:tr>
        <w:trPr/>
        <w:tc>
          <w:tcPr>
            <w:tcW w:w="1098" w:type="dxa"/>
            <w:tcBorders/>
          </w:tcPr>
          <w:p>
            <w:pPr>
              <w:pStyle w:val="Normal"/>
              <w:keepNext w:val="true"/>
              <w:keepLines/>
              <w:snapToGrid w:val="false"/>
              <w:spacing w:lineRule="atLeast" w:line="240"/>
              <w:rPr/>
            </w:pPr>
            <w:r>
              <w:rPr/>
            </w:r>
          </w:p>
        </w:tc>
        <w:tc>
          <w:tcPr>
            <w:tcW w:w="4302" w:type="dxa"/>
            <w:tcBorders/>
          </w:tcPr>
          <w:p>
            <w:pPr>
              <w:pStyle w:val="Normal"/>
              <w:keepNext w:val="true"/>
              <w:keepLines/>
              <w:spacing w:lineRule="atLeast" w:line="240"/>
              <w:rPr/>
            </w:pPr>
            <w:r>
              <w:rPr/>
              <w:t>1400 Smith Street</w:t>
            </w:r>
          </w:p>
        </w:tc>
        <w:tc>
          <w:tcPr>
            <w:tcW w:w="1618" w:type="dxa"/>
            <w:tcBorders/>
          </w:tcPr>
          <w:p>
            <w:pPr>
              <w:pStyle w:val="Normal"/>
              <w:keepNext w:val="true"/>
              <w:keepLines/>
              <w:snapToGrid w:val="false"/>
              <w:spacing w:lineRule="atLeast" w:line="240"/>
              <w:rPr/>
            </w:pPr>
            <w:r>
              <w:rPr/>
            </w:r>
          </w:p>
        </w:tc>
        <w:tc>
          <w:tcPr>
            <w:tcW w:w="3530" w:type="dxa"/>
            <w:tcBorders/>
          </w:tcPr>
          <w:p>
            <w:pPr>
              <w:pStyle w:val="ENVELOPE"/>
              <w:keepNext w:val="true"/>
              <w:keepLines/>
              <w:tabs>
                <w:tab w:val="clear" w:pos="720"/>
                <w:tab w:val="right" w:pos="2988" w:leader="none"/>
              </w:tabs>
              <w:spacing w:lineRule="atLeast" w:line="240"/>
              <w:rPr/>
            </w:pPr>
            <w:r>
              <w:rPr/>
              <w:t>526 South Church Street</w:t>
            </w:r>
          </w:p>
        </w:tc>
      </w:tr>
      <w:tr>
        <w:trPr/>
        <w:tc>
          <w:tcPr>
            <w:tcW w:w="1098" w:type="dxa"/>
            <w:tcBorders/>
          </w:tcPr>
          <w:p>
            <w:pPr>
              <w:pStyle w:val="Normal"/>
              <w:keepNext w:val="true"/>
              <w:keepLines/>
              <w:snapToGrid w:val="false"/>
              <w:spacing w:lineRule="atLeast" w:line="240"/>
              <w:rPr/>
            </w:pPr>
            <w:r>
              <w:rPr/>
            </w:r>
          </w:p>
        </w:tc>
        <w:tc>
          <w:tcPr>
            <w:tcW w:w="4302" w:type="dxa"/>
            <w:tcBorders/>
          </w:tcPr>
          <w:p>
            <w:pPr>
              <w:pStyle w:val="Normal"/>
              <w:keepNext w:val="true"/>
              <w:keepLines/>
              <w:spacing w:lineRule="atLeast" w:line="240"/>
              <w:rPr/>
            </w:pPr>
            <w:r>
              <w:rPr/>
              <w:t>Houston, Texas  77002</w:t>
            </w:r>
          </w:p>
        </w:tc>
        <w:tc>
          <w:tcPr>
            <w:tcW w:w="1618" w:type="dxa"/>
            <w:tcBorders/>
          </w:tcPr>
          <w:p>
            <w:pPr>
              <w:pStyle w:val="Normal"/>
              <w:keepNext w:val="true"/>
              <w:keepLines/>
              <w:snapToGrid w:val="false"/>
              <w:spacing w:lineRule="atLeast" w:line="240"/>
              <w:rPr/>
            </w:pPr>
            <w:r>
              <w:rPr/>
            </w:r>
          </w:p>
        </w:tc>
        <w:tc>
          <w:tcPr>
            <w:tcW w:w="3530" w:type="dxa"/>
            <w:tcBorders/>
          </w:tcPr>
          <w:p>
            <w:pPr>
              <w:pStyle w:val="ENVELOPE"/>
              <w:keepNext w:val="true"/>
              <w:keepLines/>
              <w:tabs>
                <w:tab w:val="clear" w:pos="720"/>
                <w:tab w:val="right" w:pos="2988" w:leader="none"/>
              </w:tabs>
              <w:spacing w:lineRule="atLeast" w:line="240"/>
              <w:rPr/>
            </w:pPr>
            <w:r>
              <w:rPr/>
              <w:t>Charlotte, North Carolina  28202</w:t>
            </w:r>
          </w:p>
        </w:tc>
      </w:tr>
      <w:tr>
        <w:trPr/>
        <w:tc>
          <w:tcPr>
            <w:tcW w:w="1098" w:type="dxa"/>
            <w:tcBorders/>
          </w:tcPr>
          <w:p>
            <w:pPr>
              <w:pStyle w:val="Normal"/>
              <w:keepNext w:val="true"/>
              <w:keepLines/>
              <w:snapToGrid w:val="false"/>
              <w:spacing w:lineRule="atLeast" w:line="240"/>
              <w:rPr/>
            </w:pPr>
            <w:r>
              <w:rPr/>
            </w:r>
          </w:p>
        </w:tc>
        <w:tc>
          <w:tcPr>
            <w:tcW w:w="4302" w:type="dxa"/>
            <w:tcBorders/>
          </w:tcPr>
          <w:p>
            <w:pPr>
              <w:pStyle w:val="Normal"/>
              <w:keepNext w:val="true"/>
              <w:keepLines/>
              <w:spacing w:lineRule="atLeast" w:line="240"/>
              <w:rPr/>
            </w:pPr>
            <w:r>
              <w:rPr/>
              <w:t>Attn.:</w:t>
              <w:tab/>
              <w:t>Director, Documentation Department</w:t>
            </w:r>
          </w:p>
        </w:tc>
        <w:tc>
          <w:tcPr>
            <w:tcW w:w="1618" w:type="dxa"/>
            <w:tcBorders/>
          </w:tcPr>
          <w:p>
            <w:pPr>
              <w:pStyle w:val="Normal"/>
              <w:keepNext w:val="true"/>
              <w:keepLines/>
              <w:snapToGrid w:val="false"/>
              <w:spacing w:lineRule="atLeast" w:line="240"/>
              <w:rPr/>
            </w:pPr>
            <w:r>
              <w:rPr/>
            </w:r>
          </w:p>
        </w:tc>
        <w:tc>
          <w:tcPr>
            <w:tcW w:w="3530" w:type="dxa"/>
            <w:tcBorders/>
          </w:tcPr>
          <w:p>
            <w:pPr>
              <w:pStyle w:val="ENVELOPE"/>
              <w:keepNext w:val="true"/>
              <w:keepLines/>
              <w:tabs>
                <w:tab w:val="clear" w:pos="720"/>
                <w:tab w:val="right" w:pos="2988" w:leader="none"/>
              </w:tabs>
              <w:spacing w:lineRule="atLeast" w:line="240"/>
              <w:rPr/>
            </w:pPr>
            <w:r>
              <w:rPr/>
              <w:t>Attn.:  David L. Hauser</w:t>
            </w:r>
          </w:p>
        </w:tc>
      </w:tr>
      <w:tr>
        <w:trPr/>
        <w:tc>
          <w:tcPr>
            <w:tcW w:w="1098" w:type="dxa"/>
            <w:tcBorders/>
          </w:tcPr>
          <w:p>
            <w:pPr>
              <w:pStyle w:val="Normal"/>
              <w:keepNext w:val="true"/>
              <w:keepLines/>
              <w:snapToGrid w:val="false"/>
              <w:spacing w:lineRule="atLeast" w:line="240"/>
              <w:rPr/>
            </w:pPr>
            <w:r>
              <w:rPr/>
            </w:r>
          </w:p>
        </w:tc>
        <w:tc>
          <w:tcPr>
            <w:tcW w:w="4302" w:type="dxa"/>
            <w:tcBorders/>
          </w:tcPr>
          <w:p>
            <w:pPr>
              <w:pStyle w:val="Normal"/>
              <w:keepNext w:val="true"/>
              <w:keepLines/>
              <w:spacing w:lineRule="atLeast" w:line="240"/>
              <w:rPr/>
            </w:pPr>
            <w:r>
              <w:rPr/>
              <w:t>Fax No.:  (713) 646-4816</w:t>
            </w:r>
          </w:p>
        </w:tc>
        <w:tc>
          <w:tcPr>
            <w:tcW w:w="1618" w:type="dxa"/>
            <w:tcBorders/>
          </w:tcPr>
          <w:p>
            <w:pPr>
              <w:pStyle w:val="Normal"/>
              <w:keepNext w:val="true"/>
              <w:keepLines/>
              <w:snapToGrid w:val="false"/>
              <w:spacing w:lineRule="atLeast" w:line="240"/>
              <w:rPr/>
            </w:pPr>
            <w:r>
              <w:rPr/>
            </w:r>
          </w:p>
        </w:tc>
        <w:tc>
          <w:tcPr>
            <w:tcW w:w="3530" w:type="dxa"/>
            <w:tcBorders/>
          </w:tcPr>
          <w:p>
            <w:pPr>
              <w:pStyle w:val="ENVELOPE"/>
              <w:keepNext w:val="true"/>
              <w:keepLines/>
              <w:tabs>
                <w:tab w:val="clear" w:pos="720"/>
                <w:tab w:val="right" w:pos="2988" w:leader="none"/>
              </w:tabs>
              <w:spacing w:lineRule="atLeast" w:line="240"/>
              <w:rPr/>
            </w:pPr>
            <w:r>
              <w:rPr/>
              <w:t>Fax No.:  (704) 382-1452</w:t>
            </w:r>
          </w:p>
        </w:tc>
      </w:tr>
      <w:tr>
        <w:trPr/>
        <w:tc>
          <w:tcPr>
            <w:tcW w:w="1098" w:type="dxa"/>
            <w:tcBorders/>
          </w:tcPr>
          <w:p>
            <w:pPr>
              <w:pStyle w:val="Normal"/>
              <w:snapToGrid w:val="false"/>
              <w:spacing w:lineRule="atLeast" w:line="240"/>
              <w:rPr/>
            </w:pPr>
            <w:r>
              <w:rPr/>
            </w:r>
          </w:p>
        </w:tc>
        <w:tc>
          <w:tcPr>
            <w:tcW w:w="4302" w:type="dxa"/>
            <w:tcBorders/>
          </w:tcPr>
          <w:p>
            <w:pPr>
              <w:pStyle w:val="Normal"/>
              <w:snapToGrid w:val="false"/>
              <w:spacing w:lineRule="atLeast" w:line="240"/>
              <w:rPr/>
            </w:pPr>
            <w:r>
              <w:rPr/>
            </w:r>
          </w:p>
        </w:tc>
        <w:tc>
          <w:tcPr>
            <w:tcW w:w="1618" w:type="dxa"/>
            <w:tcBorders/>
          </w:tcPr>
          <w:p>
            <w:pPr>
              <w:pStyle w:val="Normal"/>
              <w:snapToGrid w:val="false"/>
              <w:spacing w:lineRule="atLeast" w:line="240"/>
              <w:rPr/>
            </w:pPr>
            <w:r>
              <w:rPr/>
            </w:r>
          </w:p>
        </w:tc>
        <w:tc>
          <w:tcPr>
            <w:tcW w:w="3530" w:type="dxa"/>
            <w:tcBorders/>
          </w:tcPr>
          <w:p>
            <w:pPr>
              <w:pStyle w:val="Normal"/>
              <w:tabs>
                <w:tab w:val="clear" w:pos="720"/>
                <w:tab w:val="right" w:pos="2988" w:leader="none"/>
              </w:tabs>
              <w:snapToGrid w:val="false"/>
              <w:spacing w:lineRule="atLeast" w:line="240"/>
              <w:rPr/>
            </w:pPr>
            <w:r>
              <w:rPr/>
            </w:r>
          </w:p>
        </w:tc>
      </w:tr>
    </w:tbl>
    <w:p>
      <w:pPr>
        <w:pStyle w:val="Normal"/>
        <w:tabs>
          <w:tab w:val="clear" w:pos="720"/>
          <w:tab w:val="left" w:pos="6480" w:leader="none"/>
        </w:tabs>
        <w:spacing w:lineRule="atLeast" w:line="240"/>
        <w:jc w:val="both"/>
        <w:rPr/>
      </w:pPr>
      <w:r>
        <w:rPr/>
        <w:t>A copy of any notice sent to ECT pursuant hereto must also be sent to the above address to:  Enron Capital &amp; Trade Resources Corp., (i) Attention:  Corporate Secretary, Fax No. (713) 853-2534, and (ii) Attention:  Assistant General Counsel, Trading Group, Fax No. (713) 646-4818.  A copy of any notice sent to Guarantor pursuant hereto must also be sent to:  Duke Energy International, L.L.C., 5400 Westheimer Ct., Houston, Texas  77056, Attention:  Ms. Julie Dill, Chief Financial Officer, Fax No. (713) 627-6524.</w:t>
      </w:r>
    </w:p>
    <w:p>
      <w:pPr>
        <w:pStyle w:val="Normal"/>
        <w:spacing w:lineRule="exact" w:line="240"/>
        <w:ind w:start="3600" w:end="72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10.</w:t>
        <w:tab/>
      </w:r>
      <w:r>
        <w:rPr>
          <w:u w:val="single"/>
        </w:rPr>
        <w:t>MISCELLANEOUS</w:t>
      </w:r>
      <w:r>
        <w:rPr/>
        <w:t xml:space="preserve">.  </w:t>
      </w:r>
      <w:r>
        <w:rPr>
          <w:b/>
        </w:rPr>
        <w:t>THIS GUARANTY SHALL IN ALL RESPECTS BE GOVERNED BY, AND CONSTRUED IN ACCORDANCE WITH, THE LAW OF THE STATE OF TEXAS, WITHOUT REGARD TO PRINCIPLES OF CONFLICTS OF LAWS.</w:t>
      </w:r>
      <w:r>
        <w:rPr/>
        <w:t xml:space="preserve">  This Guaranty shall be binding upon Guarantor, its successors and assigns and inure to the benefit of and be enforceable by ECT, its successors and assigns.  The Guaranty embodies the entire agreement and understanding between Guarantor and ECT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pPr>
      <w:r>
        <w:rPr/>
      </w:r>
    </w:p>
    <w:p>
      <w:pPr>
        <w:pStyle w:val="Normal"/>
        <w:spacing w:lineRule="atLeast" w:line="240"/>
        <w:ind w:firstLine="720" w:end="0"/>
        <w:jc w:val="both"/>
        <w:rPr/>
      </w:pPr>
      <w:r>
        <w:rPr/>
        <w:t xml:space="preserve">IN WITNESS WHEREOF, the Guarantor has executed this Guaranty on </w:t>
      </w:r>
      <w:r>
        <w:rPr>
          <w:u w:val="single"/>
        </w:rPr>
        <w:tab/>
        <w:tab/>
      </w:r>
      <w:r>
        <w:rPr/>
        <w:t>, 199_, but it is effective as of the date first above written.</w:t>
      </w:r>
    </w:p>
    <w:p>
      <w:pPr>
        <w:pStyle w:val="Normal"/>
        <w:spacing w:lineRule="atLeast" w:line="240"/>
        <w:jc w:val="both"/>
        <w:rPr>
          <w:b/>
        </w:rPr>
      </w:pPr>
      <w:r>
        <w:rPr>
          <w:b/>
        </w:rPr>
      </w:r>
    </w:p>
    <w:p>
      <w:pPr>
        <w:pStyle w:val="Normal"/>
        <w:spacing w:lineRule="exact" w:line="240"/>
        <w:ind w:start="5040" w:end="0"/>
        <w:jc w:val="both"/>
        <w:rPr>
          <w:b/>
        </w:rPr>
      </w:pPr>
      <w:r>
        <w:rPr>
          <w:b/>
        </w:rPr>
        <w:t>DUKE CAPITAL CORPORATION</w:t>
      </w:r>
    </w:p>
    <w:p>
      <w:pPr>
        <w:pStyle w:val="Normal"/>
        <w:spacing w:lineRule="exact" w:line="240"/>
        <w:ind w:start="5040" w:end="0"/>
        <w:jc w:val="both"/>
        <w:rPr/>
      </w:pPr>
      <w:r>
        <w:rPr/>
      </w:r>
    </w:p>
    <w:p>
      <w:pPr>
        <w:pStyle w:val="Normal"/>
        <w:spacing w:lineRule="atLeast" w:line="240"/>
        <w:ind w:start="5040" w:end="0"/>
        <w:jc w:val="both"/>
        <w:rPr>
          <w:b/>
        </w:rPr>
      </w:pPr>
      <w:r>
        <w:rPr>
          <w:b/>
        </w:rPr>
      </w:r>
    </w:p>
    <w:p>
      <w:pPr>
        <w:pStyle w:val="Normal"/>
        <w:spacing w:lineRule="atLeast" w:line="240"/>
        <w:ind w:start="5040" w:end="0"/>
        <w:jc w:val="both"/>
        <w:rPr/>
      </w:pPr>
      <w:r>
        <w:rPr/>
        <w:t xml:space="preserve">By:  </w:t>
      </w:r>
      <w:r>
        <w:rPr>
          <w:u w:val="single"/>
        </w:rPr>
        <w:tab/>
        <w:tab/>
        <w:tab/>
        <w:tab/>
        <w:tab/>
        <w:tab/>
      </w:r>
    </w:p>
    <w:p>
      <w:pPr>
        <w:pStyle w:val="Normal"/>
        <w:spacing w:lineRule="atLeast" w:line="240"/>
        <w:ind w:start="5040" w:end="0"/>
        <w:jc w:val="both"/>
        <w:rPr/>
      </w:pPr>
      <w:r>
        <w:rPr/>
        <w:t xml:space="preserve">Name:  </w:t>
      </w:r>
      <w:r>
        <w:rPr>
          <w:u w:val="single"/>
        </w:rPr>
        <w:tab/>
        <w:tab/>
        <w:tab/>
        <w:tab/>
        <w:tab/>
        <w:tab/>
      </w:r>
    </w:p>
    <w:p>
      <w:pPr>
        <w:pStyle w:val="Normal"/>
        <w:spacing w:lineRule="atLeast" w:line="240"/>
        <w:ind w:start="5040" w:end="0"/>
        <w:jc w:val="both"/>
        <w:rPr/>
      </w:pPr>
      <w:r>
        <w:rPr/>
        <w:t xml:space="preserve">Title:  </w:t>
      </w:r>
      <w:r>
        <w:rPr>
          <w:u w:val="single"/>
        </w:rPr>
        <w:tab/>
        <w:tab/>
        <w:tab/>
        <w:tab/>
        <w:tab/>
        <w:tab/>
      </w:r>
    </w:p>
    <w:p>
      <w:pPr>
        <w:pStyle w:val="Normal"/>
        <w:rPr>
          <w:u w:val="single"/>
        </w:rPr>
      </w:pPr>
      <w:r>
        <w:rPr>
          <w:u w:val="single"/>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
    <w:name w:val="ENVELOPE"/>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BodyTextIndent">
    <w:name w:val="Body Text Indent"/>
    <w:basedOn w:val="Normal"/>
    <w:pPr>
      <w:widowControl w:val="false"/>
      <w:spacing w:lineRule="exact" w:line="240"/>
      <w:ind w:hanging="0" w:start="72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1999-08-19T11:35:00Z</dcterms:created>
  <dc:creator>tjones</dc:creator>
  <dc:description/>
  <dc:language>en-CA</dc:language>
  <cp:lastModifiedBy>tjones</cp:lastModifiedBy>
  <cp:lastPrinted>1999-08-19T09:07:00Z</cp:lastPrinted>
  <dcterms:modified xsi:type="dcterms:W3CDTF">1999-08-19T11:38:00Z</dcterms:modified>
  <cp:revision>3</cp:revision>
  <dc:subject/>
  <dc:title>DUKE CAPITAL CORPORATION</dc:title>
</cp:coreProperties>
</file>