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SCHEDULE </w:t>
      </w:r>
    </w:p>
    <w:p>
      <w:pPr>
        <w:pStyle w:val="Normal"/>
        <w:bidi w:val="0"/>
        <w:jc w:val="center"/>
        <w:rPr>
          <w:rFonts w:ascii="Times New Roman" w:hAnsi="Times New Roman"/>
          <w:sz w:val="24"/>
        </w:rPr>
      </w:pPr>
      <w:r>
        <w:rPr>
          <w:rFonts w:ascii="Times New Roman" w:hAnsi="Times New Roman"/>
          <w:sz w:val="24"/>
        </w:rPr>
        <w:t xml:space="preserve">to the </w:t>
      </w:r>
    </w:p>
    <w:p>
      <w:pPr>
        <w:pStyle w:val="Normal"/>
        <w:bidi w:val="0"/>
        <w:jc w:val="center"/>
        <w:rPr>
          <w:rFonts w:ascii="Times New Roman" w:hAnsi="Times New Roman"/>
          <w:sz w:val="24"/>
        </w:rPr>
      </w:pPr>
      <w:r>
        <w:rPr>
          <w:rFonts w:ascii="Times New Roman" w:hAnsi="Times New Roman"/>
          <w:sz w:val="24"/>
        </w:rPr>
        <w:t>ISDA Master Agreement</w:t>
      </w:r>
    </w:p>
    <w:p>
      <w:pPr>
        <w:pStyle w:val="Normal"/>
        <w:bidi w:val="0"/>
        <w:jc w:val="center"/>
        <w:rPr>
          <w:rFonts w:ascii="Times New Roman" w:hAnsi="Times New Roman"/>
          <w:sz w:val="24"/>
        </w:rPr>
      </w:pPr>
      <w:r>
        <w:rPr>
          <w:rFonts w:ascii="Times New Roman" w:hAnsi="Times New Roman"/>
          <w:sz w:val="24"/>
        </w:rPr>
        <w:t>(Multicurrency - Cross Border)</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November </w:t>
      </w:r>
      <w:ins w:id="0" w:author="">
        <w:r>
          <w:rPr>
            <w:rFonts w:ascii="Times New Roman" w:hAnsi="Times New Roman"/>
            <w:strike/>
            <w:sz w:val="24"/>
          </w:rPr>
          <w:t>17</w:t>
        </w:r>
      </w:ins>
      <w:r>
        <w:rPr>
          <w:rFonts w:ascii="Times New Roman" w:hAnsi="Times New Roman"/>
          <w:sz w:val="24"/>
        </w:rPr>
        <w:t xml:space="preserve"> </w:t>
      </w:r>
      <w:ins w:id="1" w:author="">
        <w:r>
          <w:rPr>
            <w:rFonts w:ascii="Times New Roman" w:hAnsi="Times New Roman"/>
            <w:b/>
            <w:sz w:val="24"/>
            <w:u w:val="double"/>
          </w:rPr>
          <w:t>20</w:t>
        </w:r>
      </w:ins>
      <w:r>
        <w:rPr>
          <w:rFonts w:ascii="Times New Roman" w:hAnsi="Times New Roman"/>
          <w:sz w:val="24"/>
        </w:rPr>
        <w:t>, 2000</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between</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Enron Corp. </w:t>
      </w:r>
    </w:p>
    <w:p>
      <w:pPr>
        <w:pStyle w:val="Normal"/>
        <w:bidi w:val="0"/>
        <w:jc w:val="center"/>
        <w:rPr>
          <w:rFonts w:ascii="Times New Roman" w:hAnsi="Times New Roman"/>
          <w:sz w:val="24"/>
        </w:rPr>
      </w:pPr>
      <w:r>
        <w:rPr>
          <w:rFonts w:ascii="Times New Roman" w:hAnsi="Times New Roman"/>
          <w:sz w:val="24"/>
        </w:rPr>
        <w:t>(“Party A”)</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center"/>
        <w:rPr>
          <w:rFonts w:ascii="Times New Roman" w:hAnsi="Times New Roman"/>
          <w:sz w:val="24"/>
        </w:rPr>
      </w:pPr>
      <w:r>
        <w:rPr>
          <w:rFonts w:ascii="Times New Roman" w:hAnsi="Times New Roman"/>
          <w:sz w:val="24"/>
        </w:rPr>
        <w:t>(“Party B”)</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Part 1</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b/>
          <w:sz w:val="24"/>
        </w:rPr>
        <w:t>General Provisions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 and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(D)</w:t>
        <w:tab/>
        <w:t>Its decisions regarding the merits of each Transaction are the results of arms-length negotiations.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(2)</w:t>
        <w:tab/>
        <w:t>(A)</w:t>
        <w:tab/>
        <w:t>Party A covenants until all amounts of principal, interest and all other amounts due to the Lenders under the Facility Agreement have been paid in full: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to make available on a substantially continuous basis either on “EDGAR” or Party A’s home page on the “World Wide Web” at www.enron.com, or otherwise to transmit to Party B    (1) promptly after the sending or filing thereof, a copy of each of Party A’s reports on Form 8-K (or any comparable form), (2) promptly after the filing or sending thereof, and in any event within 75 days after the end of each of the first three fiscal quarters of each fiscal year of Party A, a copy of Party A’s report on Form 10-Q (or any comparable form) for such quarter, which report will include Party A’s quarterly unaudited consolidated financial statements as of the end of and for such quarter, and (3) promptly after the filing or sending thereof, and in any event within 135 days after the end of each fiscal year of Party A, a copy of Party A’s annual report which it sends to its public security holders, and a copy of Party A’s report on Form 10-K (or any comparable form) for such year, which annual report will include Party A’s annual audited consolidated financial statements as of the end of and for such year.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(iii)</w:t>
        <w:tab/>
        <w:t>to cause the Asset LLCs and the Transferor LLCs not to incur or suffer to exist any Indebtedness (as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(iv)</w:t>
        <w:tab/>
        <w:t>that the applicable Sponsor (as defined in the Facility Agreement) will remain at all times the sole Managing Member of each Asset LLC and each Transferor LLC.</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“Majority Banks” used in such Section 5.02 shall mean the “Majority Lenders”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(2)      Party A represents and warrants to Party B as follows: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uto" w:line="360"/>
        <w:ind w:hanging="4320" w:start="6480"/>
        <w:jc w:val="both"/>
        <w:rPr>
          <w:rFonts w:ascii="Times New Roman" w:hAnsi="Times New Roman"/>
          <w:sz w:val="24"/>
        </w:rPr>
      </w:pPr>
      <w:r>
        <w:rPr>
          <w:rFonts w:ascii="Times New Roman" w:hAnsi="Times New Roman"/>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tab/>
        <w:tab/>
        <w:tab/>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Calculation Agent” means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Credit Agreement” shall mean that certain Long Term Revolving Credit Agreement by and among Enron Corp., Citibank, N.A. and the Chase Manhattan Bank as Co-Administrative Agents and Citbank, N.A., as Paying Agent and certain other banks, dated as of May 18, 2000 as amended prior to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 xml:space="preserve">Facility Agreement” shall mean that certain Facility Agreement dated November </w:t>
      </w:r>
      <w:ins w:id="2" w:author="">
        <w:r>
          <w:rPr>
            <w:rFonts w:ascii="Times New Roman" w:hAnsi="Times New Roman"/>
            <w:strike/>
            <w:sz w:val="24"/>
          </w:rPr>
          <w:t>17</w:t>
        </w:r>
      </w:ins>
      <w:r>
        <w:rPr>
          <w:rFonts w:ascii="Times New Roman" w:hAnsi="Times New Roman"/>
          <w:sz w:val="24"/>
        </w:rPr>
        <w:t xml:space="preserve"> </w:t>
      </w:r>
      <w:ins w:id="3" w:author="">
        <w:r>
          <w:rPr>
            <w:rFonts w:ascii="Times New Roman" w:hAnsi="Times New Roman"/>
            <w:b/>
            <w:sz w:val="24"/>
            <w:u w:val="double"/>
          </w:rPr>
          <w:t>20</w:t>
        </w:r>
      </w:ins>
      <w:r>
        <w:rPr>
          <w:rFonts w:ascii="Times New Roman" w:hAnsi="Times New Roman"/>
          <w:sz w:val="24"/>
        </w:rPr>
        <w:t>, 2000 executed by Party B as the issuer of the Notes, Canadian Imperial Bank of Commerce, as Agent, and the other financial institutions named therein, as the same may be amended, modified, restated or novated from time to time.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Increased Amounts” means, for any date, any amounts due and payable by Party B on such date to any of the Finance Parties (as defined in the Facility Agreement) pursuant to Section 8.4, 8.6 or 8.8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 xml:space="preserve">Transaction Costs” means, for any date, the reasonable out of pocket costs and expenses actually incurred </w:t>
      </w:r>
      <w:ins w:id="4" w:author="">
        <w:r>
          <w:rPr>
            <w:rFonts w:ascii="Times New Roman" w:hAnsi="Times New Roman"/>
            <w:strike/>
            <w:sz w:val="24"/>
          </w:rPr>
          <w:t>with by CIBC, in its capacity as agent for the Lenders (as defined in the Facility Agreement)</w:t>
        </w:r>
      </w:ins>
      <w:r>
        <w:rPr>
          <w:rFonts w:ascii="Times New Roman" w:hAnsi="Times New Roman"/>
          <w:sz w:val="24"/>
        </w:rPr>
        <w:t xml:space="preserve"> </w:t>
      </w:r>
      <w:ins w:id="5" w:author="">
        <w:r>
          <w:rPr>
            <w:rFonts w:ascii="Times New Roman" w:hAnsi="Times New Roman"/>
            <w:b/>
            <w:sz w:val="24"/>
            <w:u w:val="double"/>
          </w:rPr>
          <w:t>by the Agent</w:t>
        </w:r>
      </w:ins>
      <w:r>
        <w:rPr>
          <w:rFonts w:ascii="Times New Roman" w:hAnsi="Times New Roman"/>
          <w:sz w:val="24"/>
        </w:rPr>
        <w:t xml:space="preserve">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Non-default Rate”.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the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2-609 of the New York Uniform Commercial Code and any equivalent rights existing at common law shall not apply to this Agreement or any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Credit Agreement</w:t>
      </w:r>
      <w:r>
        <w:rPr>
          <w:rFonts w:ascii="Times New Roman" w:hAnsi="Times New Roman"/>
          <w:sz w:val="24"/>
        </w:rPr>
        <w:t xml:space="preserve"> Party A represents and warrants to Party B that attached hereto as Exhibit B is a true and complete copy of the Credit Agreement as in effect on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(m)</w:t>
        <w:tab/>
      </w:r>
      <w:r>
        <w:rPr>
          <w:rFonts w:ascii="Times New Roman" w:hAnsi="Times New Roman"/>
          <w:b/>
          <w:sz w:val="24"/>
        </w:rPr>
        <w:t>Set-off, etc</w:t>
      </w:r>
      <w:r>
        <w:rPr>
          <w:rFonts w:ascii="Times New Roman" w:hAnsi="Times New Roman"/>
          <w:sz w:val="24"/>
        </w:rPr>
        <w:t>    Notwithstanding Section 6(e) or any other provision of this Agreement, all payments made by Party A under this Agreement shall be paid in full without set-off or counterclaim and not subject to any condition.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(n)</w:t>
        <w:tab/>
      </w:r>
      <w:r>
        <w:rPr>
          <w:rFonts w:ascii="Times New Roman" w:hAnsi="Times New Roman"/>
          <w:b/>
          <w:sz w:val="24"/>
        </w:rPr>
        <w:t>Payment of Transaction Costs, etc</w:t>
      </w:r>
      <w:r>
        <w:rPr>
          <w:rFonts w:ascii="Times New Roman" w:hAnsi="Times New Roman"/>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promptly on written demand pay such </w:t>
        <w:tab/>
        <w:t xml:space="preserve">Transaction Costs, Cost of Carry or Increased Amounts to Party B. 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Part 2</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uto" w:line="360"/>
        <w:ind w:hanging="0" w:start="1440"/>
        <w:jc w:val="both"/>
        <w:rPr>
          <w:rFonts w:ascii="Times New Roman" w:hAnsi="Times New Roman"/>
          <w:sz w:val="24"/>
        </w:rPr>
      </w:pPr>
      <w:r>
        <w:rPr>
          <w:rFonts w:ascii="Times New Roman" w:hAnsi="Times New Roman"/>
          <w:sz w:val="24"/>
        </w:rPr>
        <w:t>Party A is a corporation organized under the laws of the State of Oregon.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uto"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uto" w:line="360"/>
        <w:jc w:val="center"/>
        <w:rPr>
          <w:rFonts w:ascii="Times New Roman" w:hAnsi="Times New Roman"/>
          <w:b/>
          <w:sz w:val="24"/>
        </w:rPr>
      </w:pPr>
      <w:r>
        <w:rPr>
          <w:rFonts w:ascii="Times New Roman" w:hAnsi="Times New Roman"/>
          <w:b/>
          <w:sz w:val="24"/>
        </w:rPr>
        <w:t xml:space="preserve">Part 3 </w:t>
      </w:r>
    </w:p>
    <w:p>
      <w:pPr>
        <w:pStyle w:val="Normal"/>
        <w:bidi w:val="0"/>
        <w:spacing w:lineRule="auto" w:line="360"/>
        <w:jc w:val="center"/>
        <w:rPr>
          <w:rFonts w:ascii="Times New Roman" w:hAnsi="Times New Roman"/>
          <w:sz w:val="24"/>
        </w:rPr>
      </w:pPr>
      <w:r>
        <w:rPr>
          <w:rFonts w:ascii="Times New Roman" w:hAnsi="Times New Roman"/>
          <w:b/>
          <w:sz w:val="24"/>
        </w:rPr>
        <w:t>Agreement to Deliver Documents</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A:</w:t>
        <w:tab/>
        <w:t>None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B:</w:t>
        <w:tab/>
        <w:t>None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uto"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576" w:bottom="63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tblHeader w:val="true"/>
          <w:cantSplit w:val="true"/>
        </w:trPr>
        <w:tc>
          <w:tcPr>
            <w:tcW w:w="1799" w:type="dxa"/>
            <w:tcBorders/>
            <w:vAlign w:val="bottom"/>
          </w:tcPr>
          <w:p>
            <w:pPr>
              <w:pStyle w:val="Normal"/>
              <w:tabs>
                <w:tab w:val="clear" w:pos="720"/>
              </w:tabs>
              <w:bidi w:val="0"/>
              <w:spacing w:lineRule="auto" w:line="360" w:before="120" w:after="0"/>
              <w:ind w:hanging="0" w:start="0" w:end="0"/>
              <w:jc w:val="start"/>
              <w:rPr>
                <w:rFonts w:ascii="Times New Roman" w:hAnsi="Times New Roman"/>
                <w:b/>
                <w:sz w:val="24"/>
              </w:rPr>
            </w:pPr>
            <w:r>
              <w:rPr>
                <w:rFonts w:ascii="Times New Roman" w:hAnsi="Times New Roman"/>
                <w:b/>
                <w:sz w:val="24"/>
              </w:rPr>
              <w:t>Party required</w:t>
            </w:r>
          </w:p>
          <w:p>
            <w:pPr>
              <w:pStyle w:val="Normal"/>
              <w:tabs>
                <w:tab w:val="clear" w:pos="720"/>
              </w:tabs>
              <w:bidi w:val="0"/>
              <w:spacing w:lineRule="auto" w:line="360" w:before="0" w:after="0"/>
              <w:ind w:hanging="0" w:start="0" w:end="0"/>
              <w:jc w:val="start"/>
              <w:rPr>
                <w:rFonts w:ascii="Times New Roman" w:hAnsi="Times New Roman"/>
                <w:b/>
                <w:sz w:val="24"/>
              </w:rPr>
            </w:pPr>
            <w:r>
              <w:rPr>
                <w:rFonts w:ascii="Times New Roman" w:hAnsi="Times New Roman"/>
                <w:b/>
                <w:sz w:val="24"/>
              </w:rPr>
              <w:t>to deliver</w:t>
            </w:r>
          </w:p>
          <w:p>
            <w:pPr>
              <w:pStyle w:val="Normal"/>
              <w:tabs>
                <w:tab w:val="clear" w:pos="720"/>
              </w:tabs>
              <w:bidi w:val="0"/>
              <w:spacing w:lineRule="auto" w:line="360" w:before="0" w:after="57"/>
              <w:ind w:hanging="0" w:start="0" w:end="0"/>
              <w:jc w:val="start"/>
              <w:rPr/>
            </w:pPr>
            <w:r>
              <w:rPr>
                <w:rFonts w:ascii="Times New Roman" w:hAnsi="Times New Roman"/>
                <w:b/>
                <w:sz w:val="24"/>
              </w:rPr>
              <w:t>document</w:t>
            </w:r>
          </w:p>
        </w:tc>
        <w:tc>
          <w:tcPr>
            <w:tcW w:w="2971"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Date by which to be delivered </w:t>
            </w:r>
          </w:p>
        </w:tc>
        <w:tc>
          <w:tcPr>
            <w:tcW w:w="1889"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Covered by Section 3(d) Representation</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Party A</w:t>
            </w:r>
          </w:p>
        </w:tc>
        <w:tc>
          <w:tcPr>
            <w:tcW w:w="2971"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No</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 xml:space="preserve">Party A and Party B </w:t>
            </w:r>
          </w:p>
        </w:tc>
        <w:tc>
          <w:tcPr>
            <w:tcW w:w="2971" w:type="dxa"/>
            <w:tcBorders/>
          </w:tcPr>
          <w:p>
            <w:pPr>
              <w:pStyle w:val="Normal"/>
              <w:tabs>
                <w:tab w:val="clear" w:pos="720"/>
              </w:tabs>
              <w:bidi w:val="0"/>
              <w:spacing w:lineRule="auto" w:line="360" w:before="120" w:after="0"/>
              <w:ind w:hanging="0" w:start="0" w:end="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spacing w:lineRule="auto" w:line="360" w:before="0" w:after="57"/>
              <w:ind w:hanging="0" w:start="0" w:end="0"/>
              <w:jc w:val="start"/>
              <w:rPr/>
            </w:pPr>
            <w:r>
              <w:rPr>
                <w:rFonts w:ascii="Times New Roman" w:hAnsi="Times New Roman"/>
                <w:sz w:val="24"/>
              </w:rPr>
              <w:t>Exhibit C</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Yes</w:t>
            </w:r>
          </w:p>
        </w:tc>
      </w:tr>
    </w:tbl>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4</w:t>
      </w:r>
    </w:p>
    <w:p>
      <w:pPr>
        <w:pStyle w:val="Normal"/>
        <w:keepNext w:val="true"/>
        <w:bidi w:val="0"/>
        <w:spacing w:lineRule="auto" w:line="360"/>
        <w:jc w:val="center"/>
        <w:rPr>
          <w:rFonts w:ascii="Times New Roman" w:hAnsi="Times New Roman"/>
          <w:sz w:val="24"/>
        </w:rPr>
      </w:pPr>
      <w:r>
        <w:rPr>
          <w:rFonts w:ascii="Times New Roman" w:hAnsi="Times New Roman"/>
          <w:b/>
          <w:sz w:val="24"/>
        </w:rPr>
        <w:t>Miscellaneous</w:t>
      </w:r>
    </w:p>
    <w:p>
      <w:pPr>
        <w:pStyle w:val="Normal"/>
        <w:keepNext w:val="true"/>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Address</w:t>
        <w:tab/>
        <w:tab/>
        <w:t>:</w:t>
        <w:tab/>
        <w:t>Enron Corp.</w:t>
      </w:r>
    </w:p>
    <w:p>
      <w:pPr>
        <w:pStyle w:val="Normal"/>
        <w:bidi w:val="0"/>
        <w:spacing w:lineRule="auto" w:line="360"/>
        <w:jc w:val="both"/>
        <w:rPr>
          <w:rFonts w:ascii="Times New Roman" w:hAnsi="Times New Roman"/>
          <w:sz w:val="24"/>
        </w:rPr>
      </w:pPr>
      <w:r>
        <w:rPr>
          <w:rFonts w:ascii="Times New Roman" w:hAnsi="Times New Roman"/>
          <w:sz w:val="24"/>
        </w:rPr>
        <w:tab/>
        <w:tab/>
        <w:tab/>
        <w:tab/>
        <w:tab/>
        <w:t>P. O. Box 4428</w:t>
      </w:r>
    </w:p>
    <w:p>
      <w:pPr>
        <w:pStyle w:val="Normal"/>
        <w:bidi w:val="0"/>
        <w:spacing w:lineRule="auto" w:line="360"/>
        <w:jc w:val="both"/>
        <w:rPr>
          <w:rFonts w:ascii="Times New Roman" w:hAnsi="Times New Roman"/>
          <w:sz w:val="24"/>
        </w:rPr>
      </w:pPr>
      <w:r>
        <w:rPr>
          <w:rFonts w:ascii="Times New Roman" w:hAnsi="Times New Roman"/>
          <w:sz w:val="24"/>
        </w:rPr>
        <w:tab/>
        <w:tab/>
        <w:tab/>
        <w:tab/>
        <w:tab/>
        <w:t>Houston, Texas    77210-4428</w:t>
      </w:r>
    </w:p>
    <w:p>
      <w:pPr>
        <w:pStyle w:val="Normal"/>
        <w:bidi w:val="0"/>
        <w:spacing w:lineRule="auto"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uto"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uto" w:line="360"/>
        <w:jc w:val="both"/>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uto" w:line="360"/>
        <w:jc w:val="both"/>
        <w:rPr>
          <w:rFonts w:ascii="Times New Roman" w:hAnsi="Times New Roman"/>
          <w:sz w:val="24"/>
        </w:rPr>
      </w:pPr>
      <w:r>
        <w:rPr>
          <w:rFonts w:ascii="Times New Roman" w:hAnsi="Times New Roman"/>
          <w:sz w:val="24"/>
        </w:rPr>
        <w:tab/>
        <w:t>Facsimile No.</w:t>
        <w:tab/>
        <w:tab/>
        <w:t>:</w:t>
        <w:tab/>
        <w:t>(713) 646-5930</w:t>
      </w:r>
    </w:p>
    <w:p>
      <w:pPr>
        <w:pStyle w:val="Normal"/>
        <w:bidi w:val="0"/>
        <w:spacing w:lineRule="auto" w:line="360"/>
        <w:jc w:val="both"/>
        <w:rPr>
          <w:rFonts w:ascii="Times New Roman" w:hAnsi="Times New Roman"/>
          <w:sz w:val="24"/>
        </w:rPr>
      </w:pPr>
      <w:r>
        <w:rPr>
          <w:rFonts w:ascii="Times New Roman" w:hAnsi="Times New Roman"/>
          <w:sz w:val="24"/>
        </w:rPr>
        <w:tab/>
        <w:t>Telephone</w:t>
        <w:tab/>
        <w:tab/>
        <w:t>:</w:t>
        <w:tab/>
        <w:t>(713) 853-5359</w:t>
      </w:r>
    </w:p>
    <w:p>
      <w:pPr>
        <w:pStyle w:val="Normal"/>
        <w:bidi w:val="0"/>
        <w:spacing w:lineRule="auto" w:line="360"/>
        <w:jc w:val="both"/>
        <w:rPr>
          <w:rFonts w:ascii="Times New Roman" w:hAnsi="Times New Roman"/>
          <w:sz w:val="24"/>
        </w:rPr>
      </w:pPr>
      <w:r>
        <w:rPr>
          <w:rFonts w:ascii="Times New Roman" w:hAnsi="Times New Roman"/>
          <w:sz w:val="24"/>
        </w:rPr>
        <w:tab/>
      </w:r>
    </w:p>
    <w:p>
      <w:pPr>
        <w:pStyle w:val="Normal"/>
        <w:bidi w:val="0"/>
        <w:spacing w:lineRule="auto" w:line="360"/>
        <w:jc w:val="both"/>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r>
    </w:p>
    <w:p>
      <w:pPr>
        <w:pStyle w:val="Normal"/>
        <w:bidi w:val="0"/>
        <w:spacing w:lineRule="auto" w:line="36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Wilmington, Delaware 19890-0001</w:t>
      </w:r>
    </w:p>
    <w:p>
      <w:pPr>
        <w:pStyle w:val="Normal"/>
        <w:bidi w:val="0"/>
        <w:spacing w:lineRule="auto" w:line="360"/>
        <w:jc w:val="both"/>
        <w:rPr>
          <w:rFonts w:ascii="Times New Roman" w:hAnsi="Times New Roman"/>
          <w:sz w:val="24"/>
        </w:rPr>
      </w:pPr>
      <w:r>
        <w:rPr>
          <w:rFonts w:ascii="Times New Roman" w:hAnsi="Times New Roman"/>
          <w:sz w:val="24"/>
        </w:rPr>
        <w:tab/>
        <w:t>Attention</w:t>
        <w:tab/>
        <w:t>:</w:t>
        <w:tab/>
        <w:t>Corporate Administration</w:t>
      </w:r>
    </w:p>
    <w:p>
      <w:pPr>
        <w:pStyle w:val="Normal"/>
        <w:bidi w:val="0"/>
        <w:spacing w:lineRule="auto" w:line="360"/>
        <w:jc w:val="both"/>
        <w:rPr>
          <w:rFonts w:ascii="Times New Roman" w:hAnsi="Times New Roman"/>
          <w:sz w:val="24"/>
        </w:rPr>
      </w:pPr>
      <w:r>
        <w:rPr>
          <w:rFonts w:ascii="Times New Roman" w:hAnsi="Times New Roman"/>
          <w:sz w:val="24"/>
        </w:rPr>
        <w:tab/>
        <w:t xml:space="preserve">Facsimile No </w:t>
        <w:tab/>
        <w:t>:</w:t>
        <w:tab/>
        <w:t>(302) 651-8882</w:t>
      </w:r>
    </w:p>
    <w:p>
      <w:pPr>
        <w:pStyle w:val="Normal"/>
        <w:bidi w:val="0"/>
        <w:spacing w:lineRule="auto" w:line="360"/>
        <w:jc w:val="both"/>
        <w:rPr>
          <w:rFonts w:ascii="Times New Roman" w:hAnsi="Times New Roman"/>
          <w:sz w:val="24"/>
        </w:rPr>
      </w:pPr>
      <w:r>
        <w:rPr>
          <w:rFonts w:ascii="Times New Roman" w:hAnsi="Times New Roman"/>
          <w:sz w:val="24"/>
        </w:rPr>
        <w:tab/>
        <w:t>Telephone</w:t>
        <w:tab/>
        <w:t>:</w:t>
        <w:tab/>
        <w:t>(302) 651-1000</w:t>
      </w:r>
    </w:p>
    <w:p>
      <w:pPr>
        <w:pStyle w:val="Normal"/>
        <w:bidi w:val="0"/>
        <w:spacing w:lineRule="auto" w:line="360"/>
        <w:jc w:val="both"/>
        <w:rPr>
          <w:rFonts w:ascii="Times New Roman" w:hAnsi="Times New Roman"/>
          <w:sz w:val="24"/>
        </w:rPr>
      </w:pPr>
      <w:r>
        <w:rPr>
          <w:rFonts w:ascii="Times New Roman" w:hAnsi="Times New Roman"/>
          <w:sz w:val="24"/>
        </w:rPr>
        <w:tab/>
        <w:t>Reference</w:t>
        <w:tab/>
        <w:t>:</w:t>
        <w:tab/>
        <w:t>Hawaii II 125-0 Trust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bidi w:val="0"/>
        <w:spacing w:lineRule="auto"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uto"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uto"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r>
        <w:rPr>
          <w:rFonts w:ascii="Times New Roman" w:hAnsi="Times New Roman"/>
          <w:sz w:val="24"/>
        </w:rPr>
        <w:t xml:space="preserve"> Not Applicable</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Owner Trustee.</w:t>
      </w:r>
      <w:r>
        <w:rPr>
          <w:rFonts w:ascii="Times New Roman" w:hAnsi="Times New Roman"/>
          <w:sz w:val="24"/>
        </w:rPr>
        <w:t>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5</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Termination Provisions</w:t>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The provisions of Section 5(a)(iii), (iv), (v), (vi) and (vii) will not apply to Party A or to Party B.</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t xml:space="preserve">The </w:t>
      </w:r>
      <w:r>
        <w:rPr>
          <w:rFonts w:ascii="Times New Roman" w:hAnsi="Times New Roman"/>
          <w:b/>
          <w:sz w:val="24"/>
        </w:rPr>
        <w:t>“Automatic Early Termination”</w:t>
      </w:r>
      <w:r>
        <w:rPr>
          <w:rFonts w:ascii="Times New Roman" w:hAnsi="Times New Roman"/>
          <w:sz w:val="24"/>
        </w:rPr>
        <w:t xml:space="preserve"> provision of Section 6(a) will not apply to Party A or Party B.</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Payments on Early Termination.</w:t>
      </w:r>
      <w:r>
        <w:rPr>
          <w:rFonts w:ascii="Times New Roman" w:hAnsi="Times New Roman"/>
          <w:sz w:val="24"/>
        </w:rPr>
        <w:t>    For the purpose of Section 6(e) of this Agreement: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The Second Method and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“Additional Termination Event”</w:t>
      </w:r>
      <w:r>
        <w:rPr>
          <w:rFonts w:ascii="Times New Roman" w:hAnsi="Times New Roman"/>
          <w:sz w:val="24"/>
        </w:rPr>
        <w:t xml:space="preserve"> will apply.    The following shall constitute an Additional Termination Event: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 xml:space="preserve">(a) Any material breach (which, in the case of a breach capable of remedy,    remains unremedied 30 days after written notice of such breach is given to Party A by Party B) by Party A of: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ab/>
        <w:tab/>
        <w:t xml:space="preserve">(i) any of the covenants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end="2160"/>
        <w:jc w:val="both"/>
        <w:rPr>
          <w:rFonts w:ascii="Times New Roman" w:hAnsi="Times New Roman"/>
          <w:sz w:val="24"/>
        </w:rPr>
      </w:pPr>
      <w:r>
        <w:rPr>
          <w:rFonts w:ascii="Times New Roman" w:hAnsi="Times New Roman"/>
          <w:sz w:val="24"/>
        </w:rPr>
        <w:tab/>
        <w:tab/>
        <w:tab/>
        <w:t>(ii) any of the representations or warranties set out or incorporated by reference in Part 1 (b) of this Schedule (except for the covenant incorporated by reference in Section (b)(2)(B) of Part 1 of this Schedule);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(b)</w:t>
        <w:tab/>
        <w:t>the occurrence with respect to Party A of any of the events specified in Sections 6.01(d) of the Credit Agreement (and for the avoidance of doubt “Debt” as used therein shall include Debt under the Credit Agreement).    If the Credit Agreement should for any reason terminate or if Party B does not consent which consent may be given only with the approval of the Majority Lenders) to any amendment of the Credit Agreement affecting Section 6.01 (d), such provisions for the purposes of this paragraph (f) shall be deemed to be as they existed immediately prior to such event;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(c)</w:t>
        <w:tab/>
        <w:t xml:space="preserve">any breach of the covenant incorporated by reference in Section (b)(2)(B) of Part 1 of this Schedule;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(d)</w:t>
        <w:tab/>
        <w:t>any sum outstanding under the Facility Agreement is declared or becomes due and payable under Section 13.2(b) thereof following the occurrence of an Event of Default thereunder.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For the purpose of the foregoing Additional Termination Event, the Affected Party shall be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Early Termination Date</w:t>
      </w:r>
      <w:r>
        <w:rPr>
          <w:rFonts w:ascii="Times New Roman" w:hAnsi="Times New Roman"/>
          <w:sz w:val="24"/>
        </w:rPr>
        <w:t>.    An Early Termination Date shall be deemed to occur immediately on the occurrence with respect to Party A of any of the events specified in Section 6.01(e) of the Credit Agreement (subject to the grace period with respect to proceedings specified in such Section 6.01 (e) and provided that such period shall for the purposes hereof be 30 days).    If the Credit Agreement should for any reason terminate or if Party B does not consent (which consent may be given only with the approval of the Majority Lenders) to any amendment of the Credit Agreement affecting Section 6.01 (e), such provisions for the purposes of this paragraph (g) shall be deemed to be as they existed immediately prior to such event.</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(i)</w:t>
        <w:tab/>
        <w:t xml:space="preserve">The </w:t>
      </w:r>
      <w:r>
        <w:rPr>
          <w:rFonts w:ascii="Times New Roman" w:hAnsi="Times New Roman"/>
          <w:b/>
          <w:sz w:val="24"/>
        </w:rPr>
        <w:t>“Contract Currency”</w:t>
      </w:r>
      <w:r>
        <w:rPr>
          <w:rFonts w:ascii="Times New Roman" w:hAnsi="Times New Roman"/>
          <w:sz w:val="24"/>
        </w:rPr>
        <w:t xml:space="preserve"> shall be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center"/>
        <w:rPr>
          <w:rFonts w:ascii="Times New Roman" w:hAnsi="Times New Roman"/>
          <w:sz w:val="24"/>
        </w:rPr>
      </w:pPr>
      <w:r>
        <w:rPr>
          <w:rFonts w:ascii="Times New Roman" w:hAnsi="Times New Roman"/>
          <w:b/>
          <w:sz w:val="24"/>
        </w:rPr>
        <w:t>[Remainder of page intentionally blank]</w:t>
      </w:r>
    </w:p>
    <w:p>
      <w:pPr>
        <w:sectPr>
          <w:type w:val="continuous"/>
          <w:pgSz w:w="12240" w:h="15840"/>
          <w:pgMar w:left="1440" w:right="1440" w:gutter="0" w:header="0" w:top="1440" w:footer="576" w:bottom="633"/>
          <w:formProt w:val="false"/>
          <w:titlePg/>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576" w:bottom="633"/>
          <w:pgNumType w:fmt="decimal"/>
          <w:formProt w:val="false"/>
          <w:textDirection w:val="lrTb"/>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b/>
          <w:sz w:val="24"/>
        </w:rPr>
        <w:t>HAWAII I 125-0 TRUST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jc w:val="both"/>
        <w:rPr>
          <w:rFonts w:ascii="Times New Roman" w:hAnsi="Times New Roman"/>
          <w:sz w:val="24"/>
        </w:rPr>
      </w:pPr>
      <w:r>
        <w:rPr>
          <w:rFonts w:ascii="Times New Roman" w:hAnsi="Times New Roman"/>
          <w:sz w:val="24"/>
        </w:rPr>
        <w:t>By:</w:t>
        <w:tab/>
        <w:t>Wilmington Trust Company,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not in its individual capacity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but solely as Owner Trustee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EXHIBIT A</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[FORM OF OPINION]</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ab/>
        <w:tab/>
        <w:tab/>
        <w:tab/>
        <w:tab/>
        <w:tab/>
        <w:t>EXHIBIT B</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both"/>
        <w:rPr>
          <w:rFonts w:ascii="Times New Roman" w:hAnsi="Times New Roman"/>
          <w:sz w:val="24"/>
        </w:rPr>
      </w:pPr>
      <w:r>
        <w:rPr>
          <w:rFonts w:ascii="Times New Roman" w:hAnsi="Times New Roman"/>
          <w:sz w:val="24"/>
        </w:rPr>
        <w:tab/>
        <w:tab/>
        <w:tab/>
        <w:tab/>
        <w:tab/>
        <w:tab/>
        <w:t>THE CREDIT AGREEMENT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center"/>
        <w:rPr>
          <w:rFonts w:ascii="Times New Roman" w:hAnsi="Times New Roman"/>
          <w:sz w:val="24"/>
        </w:rPr>
      </w:pPr>
      <w:r>
        <w:rPr>
          <w:rFonts w:ascii="Times New Roman" w:hAnsi="Times New Roman"/>
          <w:sz w:val="24"/>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ab/>
        <w:tab/>
        <w:tab/>
        <w:tab/>
        <w:tab/>
        <w:tab/>
        <w:t>EXHIBIT C</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b/>
          <w:sz w:val="24"/>
        </w:rPr>
        <w:tab/>
        <w:tab/>
        <w:tab/>
        <w:tab/>
        <w:t>INCUMBENCY AND SIGNATURE CERTIFICATE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The undersigned, the Assistant Secretary of Enron Corp. (the “Counterparty”), an Oregon corporation organized under the law of Oregon hereby certifies that: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1.</w:t>
        <w:tab/>
        <w:t>The ISDA Master Agreement dated as of [            ], including the Schedule, Confirmations, and other exhibits, supplements, attachments and annexes thereto and documents incorporated by reference therein (collectively the “Agreement Documentation”), between Hawaii II 125-0 Trust and the Counterparty has been duly executed and delivered for, in the name of, and on behalf of the Counterparty by the following officer, whose title and signature appear below:</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none"/>
        </w:tabs>
        <w:bidi w:val="0"/>
        <w:spacing w:lineRule="auto" w:line="36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576" w:bottom="633"/>
          <w:pgNumType w:start="1"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r>
        <w:br w:type="page"/>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576" w:bottom="633"/>
          <w:pgNumType w:fmt="decimal"/>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[      ] day of [date]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Enron Corp. (the “Counterparty”), an Oregon corporation organized under the law of Oregon, hereby certify that </w:t>
      </w:r>
      <w:r>
        <w:rPr>
          <w:rFonts w:ascii="Times New Roman" w:hAnsi="Times New Roman"/>
          <w:sz w:val="24"/>
          <w:u w:val="single"/>
        </w:rPr>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____ day of November, 2000.</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DAL: </w:t>
      </w:r>
      <w:ins w:id="6" w:author="">
        <w:r>
          <w:rPr>
            <w:rFonts w:ascii="Times New Roman" w:hAnsi="Times New Roman"/>
            <w:strike/>
            <w:sz w:val="24"/>
          </w:rPr>
          <w:t>269252.2</w:t>
        </w:r>
      </w:ins>
      <w:r>
        <w:rPr>
          <w:rFonts w:ascii="Times New Roman" w:hAnsi="Times New Roman"/>
          <w:sz w:val="24"/>
        </w:rPr>
        <w:t xml:space="preserve"> </w:t>
      </w:r>
      <w:ins w:id="7" w:author="">
        <w:r>
          <w:rPr>
            <w:rFonts w:ascii="Times New Roman" w:hAnsi="Times New Roman"/>
            <w:b/>
            <w:sz w:val="24"/>
            <w:u w:val="double"/>
          </w:rPr>
          <w:t>269252.3</w:t>
        </w:r>
      </w:ins>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I/Exhibit C to 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576" w:bottom="633"/>
          <w:pgNumType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original document      : C:\DOCUME~1\MCFAM\LOCALS~1\TEMP\DAL_269252_2</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and revised document: C:\DOCUME~1\MCFAM\LOCALS~1\TEMP\DAL_269252_3</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3 change(s) in the text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440" w:footer="576" w:bottom="6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305435" cy="175260"/>
              <wp:effectExtent l="0" t="0" r="0" b="0"/>
              <wp:wrapTopAndBottom/>
              <wp:docPr id="4" name="Frame9"/>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DAL:269252.3</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5" name="Frame10"/>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DAL:269252.3</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6">
              <wp:simplePos x="0" y="0"/>
              <wp:positionH relativeFrom="column">
                <wp:align>center</wp:align>
              </wp:positionH>
              <wp:positionV relativeFrom="margin">
                <wp:posOffset>0</wp:posOffset>
              </wp:positionV>
              <wp:extent cx="329565" cy="175260"/>
              <wp:effectExtent l="0" t="0" r="0" b="0"/>
              <wp:wrapTopAndBottom/>
              <wp:docPr id="1" name="Frame1"/>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DAL:269252.3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2"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3"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DAL:269252.3</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DAL:269252.3</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