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filename=269109.doc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\qj\li-1440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\qj\li-1440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\qj\li-1440 Level 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\qj\li-1440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}\ftnrstcont\notabind\margl1440\margr1440\margb576\widowctrl\hyphhotz936\ftnbj\fet2\ftnrstcont\aftnnar\revbar1\viewkind1\lytprtmet\subfontbysize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SCHEDULE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to the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ISDA Master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(Multicurrency - Cross Border)\par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dated as of\par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November 17,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between\par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Enron Corp.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({\u8220\'93}Party A{\u8221\'94})\par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({\u8220\'93}Party B{\u8221\'94})\par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1}{\plain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General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ISDA Definitions.}{\plain \fs24   Unless otherwise specified herein or in a Confirmation,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incorporates, and is subject to and governed by, the 1991 ISDA Definitions published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Swaps and Derivatives Association, Inc. together with the 1998 Supplement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 (the {\u8220\'93}1991 Definitions{\u8221\'94}). In the event of any inconsistency between the provisions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Agreement and the 1991 Definitions, this Agreement will prevail.\par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}{\plain \fs24 \b Representations, Warranties and Covenants.}{\plain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(1)\tab Party A and Party B each represents and warrants to the other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its payment obligations hereunder rank and will rank at all times at least }{\plain \fs24 \ul pari}{\plain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\ul passu}{\plain \fs24  in all respects with all of its other unsecured obligations (except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which are preferred by operation of law or equitable principles);\par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it is an {\u8220\'93}eligible swap participant{\u8221\'94} as such term is defined in Rule 35.1(b)(2)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U.S. Commodity Futures Trading Commission, 17\~C.F.R. {\u167\'a7}35.1(b)(2)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(1993);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this Agreement and each Transaction entered into by it hereunder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undertaken in conjunction with a line of business for purposes of the U.S.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Futures Trading Commission{\u8217\'92}s Statement of Policy Concerning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Swap Transactions.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Its decisions regarding the merits of each Transaction are the results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arms-length negotiations.\par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(A)\tab Party A covenants until all amounts of principal, interest and all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due to the Lenders under the Facility Agreement have been paid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to make available on a substantially continuous basis either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{\u8220\'93}EDGAR{\u8221\'94} or Party A{\u8217\'92}s home page on the {\u8220\'93}World Wide Web{\u8221\'94} 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www.enron.com, or otherwise to transmit to Party B  (1)\~promptly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sending or filing thereof, a copy of each of Party A{\u8217\'92}s reports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Form\~8-K (or any comparable form), (2)\~promptly after the filing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sending thereof, and in any event within 75 days after the end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of the first three fiscal quarters of each fiscal year of Party A,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of Party A{\u8217\'92}s report on Form\~10-Q (or any comparable form)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quarter, which report will include Party A{\u8217\'92}s quarterly unaudited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financial statements as of the end of and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quarter, and (3)\~promptly after the filing or sending thereof, and in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event within 135 days after the end of each fiscal year of Party A,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copy of Party A{\u8217\'92}s annual report which it sends to its public security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holders, and a copy of Party A{\u8217\'92}s report on Form\~10-K (or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comparable form) for such year, which annual report will include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A{\u8217\'92}s annual audited consolidated financial statements as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of and for such year.\par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to cause the Asset LLCs and the Transferor LLCs (as those terms 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to limit their respective business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to those activities specified in Section 2.04 of the applicable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 LLC Agreement or Transferor LLC Agreement (as those terms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defined in 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to cause the Asset LLCs and the Transferor LLCs not to incur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suffer to exist any Indebtedness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(iv)\tab that the applicable Sponsor (as defined in the Facility Agreement)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remain at all times the sole Managing Member of each Asset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 and each Transferor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Until all amounts of principal, interest and all other amounts due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 under the Facility Agreement have been paid in full, the covenant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 set forth in Section 5.02(b) (as amended prior to the date hereof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the Credit Agreement and together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relevant provisions of any other Section or Sections to which it refers,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definitions, but provided that for purposes hereof the term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{\u8220\'93}Majority Banks{\u8221\'94} used in such Section 5.02 shall mean the {\u8220\'93}Majority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Lenders{\u8221\'94} as defined under the Facility Agreement) of the Credit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hereby incorporated into this Schedule as a covenant of Party A hereunder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as if set out in full herein and made a part of this Schedule to the same extent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if the Credit Agreement were set out in full herein.  If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should for any reason terminate or be amended without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of Party B acting with the approval of the Majority Lenders,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shall be incorporated herein as it existed immediately prior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(2)   Party A represents and warrants to Party B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It is a corporation duly organized, validly existing and in good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standing under the laws of the jurisdiction of its incorporation. 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has all requisite powers and all material governmental licenses,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authorizations, consents and approvals required to carry on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as now conducted.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The execution, delivery and performance by Party A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are within Party A{\u8217\'92}s corporate powers, have been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all necessary corporate action of Party A, require,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Party A, no action by or in respect of, or filing with,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governmental body, agency or official and do not contravene,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a default under, any provision of law or regulation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(including, without limitation, Regulation X issued by the Federal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 Board) applicable to Party A or Regulation U issued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Reserve Board or the amended and restated articles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as amended, or by-laws, as amended, of Party A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judgment, injunction, order, decree or material ({\u8220\'93}material{\u8221\'94}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representation meaning creating in the aggregate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of $100,000,000 or more) agreement binding upon Party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result in the creation or imposition of any lien, security interest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charge or encumbrance on any asset of Party A.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\fs24\qj\fi-4320\li6480\sl360\slmult1\tx720\tx1440\tx2160\tx2880\tx3600\tx4320\tx5040\tx5760\tx6480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This Agreement is the legal, valid and binding obligation of Party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enforceable against Party A in accordance with its terms, except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enforceability thereof may be limited by the effect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bankruptcy, insolvency, reorganization, moratorium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 laws affecting creditors{\u8217\'92} rights generally and by general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equity.}{\plain \fs24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}{\plain \fs24 \b Additional Definitions.}{\plain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{\u8220\'93}Calculation Agent{\u8221\'94} means{\*\bkmkstart Redline_32_4}{\*\bkmkend Redline_32_4}}{\plain \fs24  the Agent (as defined in the Facility Agreement) or its Affiliates.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determinations and calculations by the Calculation Agent or its Affiliates shall be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good faith and in the exercise of its commercially reasonable judgment.  All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determinations and calculations shall be binding on the parties hereto in the absence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{\u8220\'93}Cost of Carry{\u8221\'94} means, for any date, any amounts due and payable by Party B on such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to any of the Finance Parties (as defined in the Facility Agreement) pursuant to Article\~XXV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(Indemnities) of the Facility Agreement, calculated in accordance with the requirements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the definition of {\u8220\'93}Calculation 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{\u8220\'93}Credit Agreement{\u8221\'94} shall mean that certain Long Term Revolving Credit Agreement by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among Enron Corp., Citibank, N.A. and the Chase Manhattan Bank as Co-Administrative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and Citbank, N.A., as Paying Agent and certain other banks, dated as of May 18,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as amended prior to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{\u8220\'93}Facility Agreement{\u8221\'94} shall mean that certain Facility Agreement dated November 17, 2000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Party\~B as the issuer of the Notes, Canadian Imperial Bank of Commerce,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Agent, and the other financial institutions named therein, as the same may be amended,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modified, restated or novated from time to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{\u8220\'93}Increased Amounts{\u8221\'94} means, for any date, any amounts due and payable by Party B on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to any of the Finance Parties (as defined in the Facility Agreement) pursuant to Section\~8.4, 8.6 or 8.8 of the Facility Agreement, calculated in accordance with the requirements set forth in the definition of {\u8220\'93}Calculation Agent{\u8221\'94} {\*\bkmkstart Redline_32_1}{\*\bkmkend Redline_32_1}}{\plain \fs24 \b\uldb\revised 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{\u8220\'93}Transaction Costs{\u8221\'94} means, for any date, the reasonable out of pocket costs and expenses actually incurred{\*\bkmkstart Redline_32_5}{\*\bkmkend Redline_32_5}}{\plain \fs24  with by CIBC, in its capacity as agent for the Lenders (as defined in the Facility Agreement) or the Calculation Agent arising out of the collection and/or enforcement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similar action in respect of the Facility Agreement, calculated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Relationship Between Parties.  }{\plain \fs24 Each party will be deemed to represent and warrant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 on the date on which it enters into a Transaction that (absent a written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parties which expressly provides to the contrary for that Transaction):\par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Non-Reliance. It is acting for its own account and it has made its own independent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decisions to enter into that Transaction and as to whether that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or proper for it based upon its own judgment and upon advice from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advisers as it has deemed necessary.  It is not relying on any communication (written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oral) of the other party as investment advice or as a recommendation to enter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Transaction; it being understood that information and explanations related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of a Transaction shall not be considered investment advice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recommendation to enter into that Transaction.  No communication (written or oral)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from the other party shall be deemed to be an assurance or guarantee as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expected results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(ii)\tab Assessment and Understanding. It is capable of assessing the merits of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(on its own behalf or through independent professional advice)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understands and accepts the terms, conditions and risks of that Transaction. It is also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capable of assuming, and assumes, the risks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(iii)\tab Status of Parties.  The other party is not acting as a fiduciary for or an adviser to it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of that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LIMITATION OF LIABILITY.}{\plain \fs24   NO PARTY SHALL BE REQUIRED TO PAY OR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LIABLE FOR SPECIAL, PUNITIVE, EXEMPLARY, INCIDENTAL, CONSEQUENTIAL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INDIRECT DAMAGES (WHETHER OR NOT ARISING FROM ITS NEGLIGENCE)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ANY OTHER PARTY; PROVIDED, HOWEVER, THAT NOTHING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SHALL AFFECT THE ENFORCEABILITY OF SECTION 6(e)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IF AND TO THE EXTENT ANY PAYMENT REQUIRED TO BE MADE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THIS AGREEMENT IS DEEMED TO CONSTITUTE LIQUIDATED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DAMAGES, THE PARTIES ACKNOWLEDGE AND AGREE THAT SUCH DAMAGES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DIFFICULT OR IMPOSSIBLE TO DETERMINE AND THAT SUCH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INTENDED TO BE A REASONABLE APPROXIMATION OF THE AMOUNT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DAMAGES AND NOT A PENALTY.\par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Applicable Rate.}{\plain \fs24   The definition of {\u8220\'93}Applicable Rate{\u8221\'94} set forth in Section 14 is 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by adding to the end of Section (b) of the definition after the word {\u8220\'93}Rate{\u8221\'94}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provision:{\u8220\'93}; }{\plain \fs24 \ul provided}{\plain \fs24 , }{\plain \fs24 \ul however}{\plain \fs24 , that if the payee is a Defaulting Party for purposes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Section 6(e), then the rate shall be the Non-default Rate{\u8221\'94}.\par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Confidentiality.}{\plain \fs24   The contents of this Agreement and all other documents relating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and any information made available by one party or its Credit Support Provider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other party or its Credit Support Provider with respect to this Agreement is confidential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shall not be disclosed to any third party, except to the parties to the Facility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and/or the Trust Agreement (as defined in the Facility Agreement) (nor shall any public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announcement relating to this Agreement be made by either party), except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(a)\~as has become generally available to the public, (b)\~as may be required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in any report, statement or testimony submitted to any regulatory body having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claiming to have jurisdiction over the relevant party or to the Federal Reserve Board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FDIC or similar organizations, (c)\~as may be required or appropriate in respect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summons or subpoena or in connection with any litigation or proceedings, (d)\~in order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 with any law, order, regulation or ruling applicable to the relevant party, and (e)\~to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prospective transferee or participant in connection with any contemplated transfer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participation of any of the Notes (as defined in the Facility Agreement) or any interest therein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Party\~B; }{\plain \fs24 \ul provided}{\plain \fs24  that such prospective assignee agrees to be bound by the confidentiality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set forth in this Part\~5 section (g).\par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Recording.}{\plain \fs24   Each party consents to the recording, at any time and from time to time,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 of any and all communications between officers or employees of the parties,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waives any further notice of such recording.\par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}{\plain \fs24 \b Limitation of Rate.}{\plain \fs24   Notwithstanding any provision to the contrary contained in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in no event shall the Default Rate, Non-default Rate, or Termination Rate exceed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maximum non-usurious interest rate, if any, that at any time or from time to time may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contracted for, taken, reserved, charged, or received on the subject indebtedness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applicable to such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}{\plain \fs24 \b Taxes.  }{\plain \fs24  Notwithstanding anything to the contrary contained in this Agreement, Party A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entitled, to the extent it is required to do so by law, to deduct or withhold any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the United States of America from interest, fees or other amounts payable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Agreement for the account of Party B (without the payment by Party A of increased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to Party B on account of such Tax) except if Party B has on file with Party A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year, the forms, document or certificates identified in Section 3(a)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for the applicable year to the extent deduction or withholding of such Tax is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as a result of the filing of such forms, document or certificates.\par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}{\plain \fs24 \b Application of Uniform Commercial Code.}{\plain \fs24   The parties agree that to the fullest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applicable law, Section\~2-609 of the New York Uniform Commercial Code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equivalent rights existing at common law shall not apply to this Agreement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}{\plain \fs24 \b Credit Agreement}{\plain \fs24  Party\~A represents and warrants to Party\~B that attached hereto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Exhibit\~B is a true and complete copy of the Credit Agreement as in effect on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(m)\tab }{\plain \fs24 \b Set-off, etc}{\plain \fs24   Notwithstanding Section\~6(e) or any other provision of this Agreement,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by Party\~A under this Agreement shall be paid in full without set-off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counterclaim and not subject to any condition.\par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(n)\tab }{\plain \fs24 \b Payment of Transaction Costs, etc}{\plain \fs24  In the event that for any reason any Transaction Costs, \tab Cost of Carry or Increased Amounts are for any reason not recoverable under a confirmation \tab executed pursuant to this Agreement, Party A shall promptly on written demand pay such \tab Transaction Costs, Cost of Carry or Increased Amounts to Party B.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Tax Representations}{\plain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Payee Representations.}{\plain \fs24  For the purpose of Section 3(f), Party A and Party B make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representations:\par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following representation applies to Party A:\par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Party A is a corporation organized under the laws of the State of Oregon.\par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\fs24\qj\fi-1440\li1440\sl360\slmult1\tx720\tx1440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The following representation applies to Party B:\par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Each payment received or to be received by it in connection with this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relates to the regular business operations of Party B (and not to an investment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B). Each payment received or to be received by it in connection with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will be effectively connected with  its conduct of a trade or business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United States of America.\par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 3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Agreement to Deliver Documents}{\plain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For the purpose of Section 4(a), the Tax forms, documents, or certificates to be delivered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\fs24\qj\fi-2160\li2160\sl360\slmult1\keepn\tx720\tx1440\tx2160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A:\tab None\par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B:\tab None\par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Other documents to be delivered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\sbknone\marglsxn2160\pgndec\headery1440\footery576\titlepg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\trhdr\trql\trgaph144\trkeep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\clvertalb\cellx8640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\fs24\intbl \ql\fi0\li0\ri0\sb120\sa0\sl360\slmult1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to deliver\par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document}{\plain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 Form/ Document/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Date by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delivered }{\plain \fs24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Covered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3(d)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 \pard \fs24\intbl \qj\fi0\li0\ri0\sb120\sa57\sl360\slmult1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Party A}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Legal opinion substantially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form attached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Execution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\qc \pard \fs24\intbl \qc\fi0\li0\ri0\sb120\sa57\sl360\slmult1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\trql\trgaph144\trkeep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\cellx1800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\cellx4770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\cellx6750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\cellx8640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\qj \pard \fs24\intbl \qj\fi0\li0\ri0\sb120\sa57\sl360\slmult1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Party A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Evidence of authority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signatories substantially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 attached as\par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Exhibit C}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Execution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\qc \pard \fs24\intbl \qc\fi0\li0\ri0\sb120\sa57\sl360\slmult1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Yes}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Part 4\par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Miscellaneous}{\plain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}{\plain \fs24 \b Address for Notices. }{\plain \fs24  For the purpose of Section 12(a)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notices or communications (other than with respect to payments) to Party A:\par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Address\tab \tab :\tab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P. O. Box 4428\par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Houston, Texas  77210-4428\par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Street Address\tab :\tab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(for courier delivery) \tab \tab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Attention\tab \tab :\tab Vice President, Finance and Treasury\par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 No.\tab \tab :\tab (713) 646-5930\par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Telephone\tab \tab :\tab (713) 853-5359\par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 copy of any notice sent to Party A pursuant to Section 5 or 6 must also be sent to (i) Enron Corp.,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Attention: Corporate Secretary at the above address and facsimile no. (713)\~646-8007, and (ii)\~Enron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 America Corp., Attention: Assistant General Counsel, Trading Group at the above address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facsimile no.  (713)\~646-4818.\par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notices or communications (other than with respect to payments) to Party B:\~-\par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Address \tab :\tab c/o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\fs24\qj\fi-2880\li2880\sl360\slmult1\tx720\tx1440\tx2160\tx2880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Attention\tab :\tab Corporate Administration\par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 No \tab :\tab (302) 651-8882\par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Telephone\tab :\tab (302) 651-1000\par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Reference\tab :\tab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}{\plain \fs24 \b Process Agent. }{\plain \fs24  For the purpose of Section 13(c)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 appoints as its Process Agent\tab :\tab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 appoints as its Process Agent\tab :\tab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}{\plain \fs24 \b Offices.}{\plain \fs24  The provisions of Section 10(a) of this Agreement will apply to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Multibranch Party.}{\plain \fs24   For the purpose of Section 10(c) of this Agreement:\~\par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A is not a Multibranch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Party B is not a Multibranch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Calculation Agent.}{\plain \fs24   The Calculation Agent shall be as specified in a Confirmation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relation to the relevant Transaction.\par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Credit Support Document.}{\plain \fs24 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Credit Support Provider.}{\plain \fs24  Not Applicable\par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Governing Law.}{\plain \fs24   This Agreement will be governed by and construed in accordance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}{\plain \fs24 \b {\u8220\'93}Affiliate{\u8221\'94}}{\plain \fs24  will have the meaning specified in Section 14 of this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(j)\tab }{\plain \fs24 \b Taxes.}{\plain \fs24 \tab The term {\u8220\'93}Indemnifiable Tax{\u8221\'94} shall mean a Relevant Tax (as such term is defined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(k)\tab }{\plain \fs24 \b Jurisdiction}{\plain \fs24 .  The provisions of Section 13(b) are deleted in their entirety and replaced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  {\u8220\'93}With respect to any suit, action, claim or proceeding relating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({\u8220\'93}Proceedings{\u8221\'94}), neither party (i) waives any objection which it may have at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to the laying of venue of any Proceedings brought in any court, (ii) waives any claim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Proceedings have been brought in an inconvenient forum, or (iii) waives the right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object, with respect to such Proceedings, that a court does not have any jurisdiction over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{\*\pnseclvl3\pnlcrm\pnstart1\pnhang{\pntxta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{\*\pnseclvl6\pnlcrm\pnstart1\pnhang{\pntxtb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{\*\pnseclvl9\pnlcrm\pnstart1\pnhang{\pntxta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(l)\tab }{\plain \fs24 \b Owner Trustee.}{\plain \fs24   It is expressly understood and agreed that (a)\~this Schedule is executed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by Wilmington Trust Company ({\u8220\'93}Wilmington{\u8221\'94}), not individually or personally but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solely as Owner Trustee of Party B, in the exercise of the powers and authority conferred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in it under the Trust Agreement, (b)\~each of the representations, undertakings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herein made on the part of the Trust is made and intended not as personal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representations, undertakings and agreements by Wilmington but is made and intended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purpose of binding only the Trust and (c) under no circumstances shall Wilmington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liable for the payment of any indebtedness or expenses of the Trust or be liable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breach or failure of any obligation, representation, warranty or covenant made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undertaken by the Trust under this Schedule.}{\plain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Nothing in this Agreement precludes either party from bringing Proceedings in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jurisdiction, nor will the bringing of Proceedings in any one or more jurisdictions preclude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bringing of Proceedings in any other jurisdiction.{\u8221\'94}\par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Part 5\par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Termination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The provisions of Section\~5(a)(iii), (iv), (v), (vi) and (vii) will not apply to Party\~A or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Party\~B.\par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 \tab }{\plain \fs24 The }{\plain \fs24 \b {\u8220\'93}Credit Event Upon Merger{\u8221\'94}}{\plain \fs24  provisions of Section 5(b)(iv), as amended below,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apply only to Party 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The }{\plain \fs24 \b {\u8220\'93}Automatic Early Termination{\u8221\'94}}{\plain \fs24  provision of Section 6(a) will not apply to Party\~A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Party B.\par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}{\plain \fs24 \b Payments on Early Termination.}{\plain \fs24   For the purpose of Section 6(e) of this Agreement:\~-\par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Second Method and Loss will apply; provided that in the case of Loss incurred by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B, such amount shall be (without duplication) the entire amount of unpaid principal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and all other amounts due or to become due under the Facility Agreement (as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Confirmations) (which Loss is in addition to amounts to which Party B may become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under Section 11 of this Agreement, but in each case  without duplication of amounts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under the Confirmations).\par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(e)\tab }{\plain \fs24 \b {\u8220\'93}Termination Currency{\u8221\'94}}{\plain \fs24  means USD.\par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(f)\tab }{\plain \fs24 \b {\u8220\'93}Additional Termination Event{\u8221\'94}}{\plain \fs24  will apply.  The following shall constitute an Additional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Event:\par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 Any material breach (which, in the case of a breach capable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remedy,  remains unremedied 30 days after written notice of such breach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to Party A by Party B) by Party A of: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(i)\~any of the covenants or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\fs24\qj\fi-2160\li2160\ri2160\sl360\slmult1\tx720\tx1440\tx2160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(ii)\~any of the representations or warranties set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or incorporated by reference in Part 1 (b)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(except for the covenant incorporated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in Section (b)(2)(B) of Part 1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Schedule);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occurrence with respect to Party A of any of the events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Sections 6.01(d) of the Credit Agreement (and for the avoidance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doubt {\u8220\'93}Debt{\u8221\'94} as used therein shall include Debt under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Agreement).  If the Credit Agreement should for any reason terminate or 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B does not consent which consent may be given only with the approval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Majority Lenders) to any amendment of the Credit Agreement affecting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 (d), such provisions for the purposes of this paragraph (f)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be as they existed immediately prior to such event;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any breach of the covenant incorporated by reference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(b)(2)(B) of Part 1 of this Schedule; or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\fs24\qj\li1440\ri720\sl360\slmult1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(d)\tab any sum outstanding under the Facility Agreement is declared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becomes due and payable under Section\~13.2(b) thereof following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occurrence of an Event of Default thereunder.\par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For the purpose of the foregoing Additional Termination Event, the Affected Party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(g)\tab }{\plain \fs24 \b Early Termination Date}{\plain \fs24 .  An Early Termination Date shall be deemed to occur immediately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occurrence with respect to Party A of any of the events specified in Section 6.01(e)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Credit Agreement (subject to the grace period with respect to proceedings specified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such Section 6.01 (e) {\*\bkmkstart Redline_32_6}{\*\bkmkend Redline_32_6}}{\plain \fs24 \strike\revised [}{\plain \fs24 and provided that such period shall for the purposes hereof be 30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days}{\plain \fs24 \strike\revised ]){\*\bkmkstart Redline_32_2}{\*\bkmkend Redline_32_2}}{\plain \fs24 \b\uldb\revised )}{\plain \fs24 .  If the Credit Agreement should for any reason terminate or if Party B does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(which consent may be given only with the approval of the Majority Lenders) to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of the Credit Agreement affecting Section 6.01 (e), such provisions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paragraph (g) shall be deemed to be as they existed immediately prior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\fs24\qj\fi-720\li720\sl360\slmult1\tx720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(h)\tab }{\plain \fs24 \b Amendment of Credit Event Upon Merger.  }{\plain \fs24 Section 5(b)(iv) is hereby amended by adding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phrase between the closing parenthesis and the semicolon at the end thereof: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\ul provided}{\plain \fs24 , }{\plain \fs24 \ul however}{\plain \fs24 , that the foregoing action or event shall not constitute a 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if, in the case of a merger or consolidation of Enron Corp. with or into any Person,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(1)\~Enron Corp. is the survivor, or (2)\~the surviving Person, if not Enron Corp., is organized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laws of the United States or a state thereof and assumes all obligations of Enron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 hereunder, }{\plain \fs24 \ul provided}{\plain \fs24  in each case that immediately after giving effect to such proposed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or consolidation, no Event of Default (as such term is defined in the Credit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referred to in Part 5(c) of this Schedule, as such Credit Agreement may from time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time be amended with the consent of Party B, or if such Credit Agreement should for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terminate or if Party B shall object to any amendment to such Credit Agreement,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{\u8220\'93}Event of Default{\u8221\'94} shall be as the same existed immediately prior to such 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amendment) or event which, with the giving of notice or the lapse of time, or both, would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such an Event of Default, would exist or result{\u8221\'94}.\par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(i)\tab The }{\plain \fs24 \b {\u8220\'93}Contract Currency{\u8221\'94}}{\plain \fs24  shall be USD.\par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\fs24\qc\sl360\slmult1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\fs24\qj\fi-540\li540\tx-1080\tx-720\tx0\tx540\tx900\tx1440\tx2160\tx2880\tx3600\tx4320\tx5040\tx5760\tx6480\tx7200\tx7920\tx8640\tx9360\tx10080\tx10800\tx11520\tx12240\tx12960\tx13680\tx14400\tx15120\tx15840\tx16560\tx17280\tx18000\tx18720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not in its individual capacity\par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but solely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\tab \tab \tab \tab \tab 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I/Swap Schedule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A - {\field{\*\fldinst { PAGE  }}}\par}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A\par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[FORM OF OPINION]\par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\tab \tab \tab \tab \tab \tab EXHIBIT B\par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\tab \tab \tab \tab \tab \tab THE CREDIT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\pgnrestart\pgndec\headery1440\footery576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\fs24\qc\sl360\slmult1\tx-1080\tx-720\tx0\tx540\tx900\tx1440\tx2160\tx2880\tx3600\tx4320\tx5040\tx5760\tx6480\tx7200\tx7920\tx8640\tx9360\tx10080\tx10800\tx11520\tx12240\tx12960\tx13680\tx14400\tx15120\tx15840\tx16560\tx17280\tx18000\tx18720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EXHIBIT C\par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\tab \tab \tab \tab INCUMBENCY AND SIGNATURE CERTIFICATE}{\plain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The undersigned, the Assistant Secretary of Enron Corp. (the {\u8220\'93}Counterparty{\u8221\'94}), an Oregon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organized under the law of Oregon hereby certifies that:\par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1.\tab The ISDA Master Agreement dated as of [      ], including the Schedule, Confirmations,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exhibits, supplements, attachments and annexes thereto and documents incorporated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therein (collectively the {\u8220\'93}Agreement Documentation{\u8221\'94}), between Hawaii\~I\~125-0 Trust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Counterparty has been duly executed and delivered for, in the name of, and on behalf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by the following officer, whose title and signature appear below:\par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\ul NAME}{\plain \fs24  \tab \tab \tab }{\plain \fs24 \ul TITLE}{\plain \fs24  \tab \tab \tab }{\plain \fs24 \ul SIGNATURE}{\plain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\fs24\sl360\slmult1\tx720\tx1440\tx2160\tx2880\tx3600\tx4320\tx5040\tx5760\tx6480\tqr\tx9360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\ul \tab \tab \tab \tab }{\plain \fs24 \tab }{\plain \fs24 \ul \tab }{\plain \fs24 \tab \tab \tab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2.\tab The foregoing officer who, on behalf of the Counterparty, executed and delivered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Documentation was at the date thereof and is now duly authorized as a signatory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and duly authorized to perform such acts at the respective times of such acts,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 of such person appearing on the Agreement Documentation is his/her genuine signature.\par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\sbknone\pgndec\headery1440\footery576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\fs24\qj\sl288\slmult1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I/Exhibit C to Swap Schedule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DAL:269109.2\par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{\*\pnseclvl1\pndec\pnstart12{\pntxta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 IN WITNESS WHEREOF,}{\plain \fs24  the undersigned has executed this certificate the [   ] day of [date]\par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\fs24\sl360\slmult1\tx-1080\tx-720\tx0\tx540\tx900\tx1440\tx2160\tx2880\tx3600\tx4320\tx5040\tx5760\tx6480\tx7200\tx7920\tx8640\tx9360\tx10080\tx10800\tx11520\tx12240\tx12960\tx13680\tx14400\tx15120\tx15840\tx16560\tx17280\tx18000\tx18720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}{\plain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\fs24\tx720\tx1440\tx2160\tx2880\tx3600\tx4320\tx5040\tqr\tx9360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 Assistant Secretary\par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I, }{\plain \fs24 \ul \tab \tab \tab \tab }{\plain \fs24 , a }{\plain \fs24 \ul \tab \tab \tab \tab }{\plain \fs24  of Enron Corp. (the {\u8220\'93}Counterparty{\u8221\'94}),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Oregon corporation organized under the law of Oregon, hereby certify that }{\plain \fs24 \ul \tab \tab }{\plain \fs24  is a duly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elected, qualified, and acting Assistant Secretary of the Counterparty and that the signature appearing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is his/her genuine signature.\par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 IN WITNESS WHEREOF,}{\plain \fs24  I have hereunto signed my name the ____ day of November,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 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DAL: {\*\bkmkstart Redline_32_7}{\*\bkmkend Redline_32_7}}{\plain \fs24 \strike\revised 268748.1}{\plain \fs24  {\*\bkmkstart Redline_32_3}{\*\bkmkend Redline_32_3}}{\plain \fs24 \b\uldb\revised 269109.2}{\plain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I/Swap Schedule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3-\par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I/Exhibit C to Swap Schedule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original document   : C:\\DOCUME~1\\MCFAM\\LOCALS~1\\TEMP\\DAL_269109_1\par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revised document: C:\\DOCUME~1\\MCFAM\\LOCALS~1\\TEMP\\DAL_269109_2\par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\fs24\tx-1080\tx-720\tx0\tx540\tx900\tx1440\tx2160\tx2880\tx3600\tx4320\tx5040\tx5760\tx6480\tx7200\tx7920\tx8640\tx9360\tx10080\tx10800\tx11520\tx12240\tx12960\tx13680\tx14400\tx15120\tx15840\tx16560\tx17280\tx18000\tx18720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