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sz w:val="24"/>
        </w:rPr>
      </w:pPr>
      <w:r>
        <w:rPr>
          <w:b/>
          <w:sz w:val="24"/>
        </w:rPr>
      </w:r>
      <w:r>
        <w:rPr>
          <w:b/>
          <w:sz w:val="24"/>
        </w:rPr>
        <w:t>PAYMENT DIRECTION LETTER</w:t>
      </w:r>
    </w:p>
    <w:p>
      <w:pPr>
        <w:pStyle w:val="Normal"/>
        <w:widowControl w:val="false"/>
        <w:jc w:val="center"/>
        <w:rPr>
          <w:sz w:val="24"/>
        </w:rPr>
      </w:pPr>
      <w:r>
        <w:rPr>
          <w:b/>
          <w:sz w:val="24"/>
        </w:rPr>
        <w:t>Hawaii II 125-0 Trust</w:t>
      </w:r>
    </w:p>
    <w:p>
      <w:pPr>
        <w:pStyle w:val="Normal"/>
        <w:widowControl w:val="false"/>
        <w:jc w:val="both"/>
        <w:rPr>
          <w:sz w:val="24"/>
        </w:rPr>
      </w:pPr>
      <w:r>
        <w:rPr>
          <w:sz w:val="24"/>
        </w:rPr>
      </w:r>
    </w:p>
    <w:p>
      <w:pPr>
        <w:pStyle w:val="Normal"/>
        <w:widowControl w:val="false"/>
        <w:jc w:val="center"/>
        <w:rPr>
          <w:sz w:val="24"/>
        </w:rPr>
      </w:pPr>
      <w:r>
        <w:rPr>
          <w:sz w:val="24"/>
        </w:rPr>
        <w:t>November 17, 2000</w:t>
      </w:r>
    </w:p>
    <w:p>
      <w:pPr>
        <w:pStyle w:val="Normal"/>
        <w:widowControl w:val="false"/>
        <w:jc w:val="both"/>
        <w:rPr>
          <w:sz w:val="24"/>
        </w:rPr>
      </w:pPr>
      <w:r>
        <w:rPr>
          <w:sz w:val="24"/>
        </w:rPr>
      </w:r>
    </w:p>
    <w:p>
      <w:pPr>
        <w:pStyle w:val="Normal"/>
        <w:widowControl w:val="false"/>
        <w:jc w:val="both"/>
        <w:rPr>
          <w:sz w:val="24"/>
        </w:rPr>
      </w:pPr>
      <w:r>
        <w:rPr>
          <w:sz w:val="24"/>
        </w:rPr>
      </w:r>
    </w:p>
    <w:p>
      <w:pPr>
        <w:pStyle w:val="Normal"/>
        <w:widowControl w:val="false"/>
        <w:jc w:val="both"/>
        <w:rPr>
          <w:sz w:val="24"/>
        </w:rPr>
      </w:pPr>
      <w:r>
        <w:rPr>
          <w:sz w:val="24"/>
        </w:rPr>
        <w:tab/>
        <w:t>Reference is hereby made to the Facility Agreement dated as of November 17, 2000 among Hawaii II 125-0 Trust, Canadian Imperial Bank of Commerce (“CIBC”), as the Agent, and the other financial institutions party thereto (the “Facility Agreement”).   Capitalized terms used and not defined herein have the meanings set forth in the Facility Agreement.</w:t>
      </w:r>
    </w:p>
    <w:p>
      <w:pPr>
        <w:pStyle w:val="Normal"/>
        <w:widowControl w:val="false"/>
        <w:jc w:val="both"/>
        <w:rPr>
          <w:sz w:val="24"/>
        </w:rPr>
      </w:pPr>
      <w:r>
        <w:rPr>
          <w:sz w:val="24"/>
        </w:rPr>
      </w:r>
    </w:p>
    <w:p>
      <w:pPr>
        <w:pStyle w:val="Normal"/>
        <w:widowControl w:val="false"/>
        <w:jc w:val="both"/>
        <w:rPr/>
      </w:pPr>
      <w:r>
        <w:rPr>
          <w:sz w:val="24"/>
        </w:rPr>
        <w:tab/>
        <w:t xml:space="preserve">Pursuant to the Facility Agreement, on the date hereof, the Trust shall drawdown $145,192,452, which represents the aggregate drawdowns with respect to the Hawaii Tranches.  Upon receipt of such funds, pursuant to the Total Return Swap Agreement (as used herein, as defined in the Hawaii Facility Agreement) and each Swap Confirmation related thereto, as amended by the Omnibus Amendments dated November 17, 2000, the Trust shall pay to Enron Corp. the total $145,192,452, which represents the aggregate Fixed </w:t>
      </w:r>
      <w:bookmarkStart w:id="0" w:name="Redline_3"/>
      <w:bookmarkEnd w:id="0"/>
      <w:r>
        <w:rPr>
          <w:strike/>
          <w:sz w:val="24"/>
        </w:rPr>
        <w:t>Payments</w:t>
      </w:r>
      <w:r>
        <w:rPr>
          <w:sz w:val="24"/>
        </w:rPr>
        <w:t xml:space="preserve"> </w:t>
      </w:r>
      <w:bookmarkStart w:id="1" w:name="Redline_1"/>
      <w:bookmarkEnd w:id="1"/>
      <w:r>
        <w:rPr>
          <w:b/>
          <w:color w:val="FF0000"/>
          <w:sz w:val="24"/>
          <w:u w:val="double"/>
        </w:rPr>
        <w:t>Amounts</w:t>
      </w:r>
      <w:r>
        <w:rPr>
          <w:sz w:val="24"/>
        </w:rPr>
        <w:t xml:space="preserve"> (as defined in the Total Return Swap Agreement) due under the Total Return Swap Agreement with respect to the Hawaii Tranches.  In exchange for payment of such aggregate Fixed </w:t>
      </w:r>
      <w:r>
        <w:rPr>
          <w:strike/>
          <w:sz w:val="24"/>
        </w:rPr>
        <w:t>Payments</w:t>
      </w:r>
      <w:r>
        <w:rPr>
          <w:sz w:val="24"/>
        </w:rPr>
        <w:t xml:space="preserve"> </w:t>
      </w:r>
      <w:r>
        <w:rPr>
          <w:b/>
          <w:color w:val="FF0000"/>
          <w:sz w:val="24"/>
          <w:u w:val="double"/>
        </w:rPr>
        <w:t>Amounts</w:t>
      </w:r>
      <w:r>
        <w:rPr>
          <w:sz w:val="24"/>
        </w:rPr>
        <w:t xml:space="preserve">, Enron Corp. shall pay to the Trust </w:t>
      </w:r>
      <w:r>
        <w:rPr>
          <w:strike/>
          <w:sz w:val="24"/>
        </w:rPr>
        <w:t>$______________</w:t>
      </w:r>
      <w:r>
        <w:rPr>
          <w:b/>
          <w:color w:val="FF0000"/>
          <w:sz w:val="24"/>
          <w:u w:val="double"/>
        </w:rPr>
        <w:t>$145,958,608.19</w:t>
      </w:r>
      <w:r>
        <w:rPr>
          <w:sz w:val="24"/>
        </w:rPr>
        <w:t xml:space="preserve">, which represents the aggregate Floating </w:t>
      </w:r>
      <w:r>
        <w:rPr>
          <w:strike/>
          <w:sz w:val="24"/>
        </w:rPr>
        <w:t>Payments</w:t>
      </w:r>
      <w:r>
        <w:rPr>
          <w:sz w:val="24"/>
        </w:rPr>
        <w:t xml:space="preserve"> </w:t>
      </w:r>
      <w:r>
        <w:rPr>
          <w:b/>
          <w:color w:val="FF0000"/>
          <w:sz w:val="24"/>
          <w:u w:val="double"/>
        </w:rPr>
        <w:t>Amounts</w:t>
      </w:r>
      <w:r>
        <w:rPr>
          <w:sz w:val="24"/>
        </w:rPr>
        <w:t xml:space="preserve"> (as defined in the Total Return Swap Agreement) due under the Total Return Swap Agreement.  Upon receipt of such aggregate Floating </w:t>
      </w:r>
      <w:r>
        <w:rPr>
          <w:strike/>
          <w:sz w:val="24"/>
        </w:rPr>
        <w:t>Payments</w:t>
      </w:r>
      <w:r>
        <w:rPr>
          <w:sz w:val="24"/>
        </w:rPr>
        <w:t xml:space="preserve"> </w:t>
      </w:r>
      <w:r>
        <w:rPr>
          <w:b/>
          <w:color w:val="FF0000"/>
          <w:sz w:val="24"/>
          <w:u w:val="double"/>
        </w:rPr>
        <w:t>Amounts</w:t>
      </w:r>
      <w:r>
        <w:rPr>
          <w:sz w:val="24"/>
        </w:rPr>
        <w:t xml:space="preserve">, the Trust shall pay to CIBC, as Agent under the Hawaii Facility Agreement, </w:t>
      </w:r>
      <w:r>
        <w:rPr>
          <w:strike/>
          <w:sz w:val="24"/>
        </w:rPr>
        <w:t>$_______________</w:t>
      </w:r>
      <w:r>
        <w:rPr>
          <w:b/>
          <w:color w:val="FF0000"/>
          <w:sz w:val="24"/>
          <w:u w:val="double"/>
        </w:rPr>
        <w:t>$145,958,608.19</w:t>
      </w:r>
      <w:r>
        <w:rPr>
          <w:sz w:val="24"/>
        </w:rPr>
        <w:t xml:space="preserve">, which represents all amounts of principal, interest and </w:t>
      </w:r>
      <w:r>
        <w:rPr>
          <w:strike/>
          <w:sz w:val="24"/>
        </w:rPr>
        <w:t>any</w:t>
      </w:r>
      <w:r>
        <w:rPr>
          <w:sz w:val="24"/>
        </w:rPr>
        <w:t xml:space="preserve"> </w:t>
      </w:r>
      <w:r>
        <w:rPr>
          <w:b/>
          <w:color w:val="FF0000"/>
          <w:sz w:val="24"/>
          <w:u w:val="double"/>
        </w:rPr>
        <w:t>all</w:t>
      </w:r>
      <w:r>
        <w:rPr>
          <w:sz w:val="24"/>
        </w:rPr>
        <w:t xml:space="preserve"> other amounts </w:t>
      </w:r>
      <w:r>
        <w:rPr>
          <w:strike/>
          <w:sz w:val="24"/>
        </w:rPr>
        <w:t>whatsoever</w:t>
      </w:r>
      <w:r>
        <w:rPr>
          <w:sz w:val="24"/>
        </w:rPr>
        <w:t xml:space="preserve"> due under the Hawaii Facility Agreement</w:t>
      </w:r>
      <w:r>
        <w:rPr>
          <w:b/>
          <w:color w:val="FF0000"/>
          <w:sz w:val="24"/>
          <w:u w:val="double"/>
        </w:rPr>
        <w:t>, exclusive of breakage costs</w:t>
      </w:r>
      <w:r>
        <w:rPr>
          <w:sz w:val="24"/>
        </w:rPr>
        <w:t>.</w:t>
      </w:r>
    </w:p>
    <w:p>
      <w:pPr>
        <w:pStyle w:val="Normal"/>
        <w:widowControl w:val="false"/>
        <w:jc w:val="both"/>
        <w:rPr>
          <w:sz w:val="24"/>
        </w:rPr>
      </w:pPr>
      <w:r>
        <w:rPr>
          <w:sz w:val="24"/>
        </w:rPr>
      </w:r>
    </w:p>
    <w:p>
      <w:pPr>
        <w:pStyle w:val="Normal"/>
        <w:widowControl w:val="false"/>
        <w:jc w:val="both"/>
        <w:rPr>
          <w:sz w:val="24"/>
        </w:rPr>
      </w:pPr>
      <w:r>
        <w:rPr>
          <w:sz w:val="24"/>
        </w:rPr>
        <w:tab/>
        <w:t>In lieu of making each transfer described above, the parties hereby direct that the funds drawn under the Facility Agreement on the date hereof be applied as follows:</w:t>
      </w:r>
    </w:p>
    <w:p>
      <w:pPr>
        <w:pStyle w:val="Normal"/>
        <w:widowControl w:val="false"/>
        <w:jc w:val="both"/>
        <w:rPr>
          <w:sz w:val="24"/>
        </w:rPr>
      </w:pPr>
      <w:r>
        <w:rPr>
          <w:sz w:val="24"/>
        </w:rPr>
      </w:r>
    </w:p>
    <w:p>
      <w:pPr>
        <w:pStyle w:val="Normal"/>
        <w:widowControl w:val="false"/>
        <w:jc w:val="both"/>
        <w:rPr>
          <w:sz w:val="24"/>
        </w:rPr>
      </w:pPr>
      <w:r>
        <w:rPr>
          <w:sz w:val="24"/>
        </w:rPr>
        <w:tab/>
        <w:t>(i)</w:t>
        <w:tab/>
        <w:t>CIBC, as Agent under the Facility Agreement, shall retain the $145,192,452 advanced to the Trust on the date hereof, and shall allocate such funds to the appropriate account, and hereby acknowledges receipt of such funds, in its capacity as Agent under the Hawaii Facility Agreement, in full satisfaction of all principal amounts due and owing by the Hawaii II 125-0 Trust under the Hawaii Facility Agreement.</w:t>
      </w:r>
    </w:p>
    <w:p>
      <w:pPr>
        <w:pStyle w:val="Normal"/>
        <w:widowControl w:val="false"/>
        <w:jc w:val="both"/>
        <w:rPr>
          <w:sz w:val="24"/>
        </w:rPr>
      </w:pPr>
      <w:r>
        <w:rPr>
          <w:sz w:val="24"/>
        </w:rPr>
      </w:r>
    </w:p>
    <w:p>
      <w:pPr>
        <w:pStyle w:val="Normal"/>
        <w:widowControl w:val="false"/>
        <w:jc w:val="both"/>
        <w:rPr/>
      </w:pPr>
      <w:r>
        <w:rPr>
          <w:sz w:val="24"/>
        </w:rPr>
        <w:tab/>
        <w:t>(ii)</w:t>
        <w:tab/>
        <w:t xml:space="preserve">Enron Corp., as Counterparty to the Total Return Swap Agreement, shall pay to the Trust </w:t>
      </w:r>
      <w:r>
        <w:rPr>
          <w:strike/>
          <w:sz w:val="24"/>
        </w:rPr>
        <w:t>$___________</w:t>
      </w:r>
      <w:r>
        <w:rPr>
          <w:b/>
          <w:color w:val="FF0000"/>
          <w:sz w:val="24"/>
          <w:u w:val="double"/>
        </w:rPr>
        <w:t>$766,156.19</w:t>
      </w:r>
      <w:r>
        <w:rPr>
          <w:sz w:val="24"/>
        </w:rPr>
        <w:t>, which represents the net amount due from Enron Corp</w:t>
      </w:r>
      <w:r>
        <w:rPr>
          <w:b/>
          <w:color w:val="FF0000"/>
          <w:sz w:val="24"/>
          <w:u w:val="double"/>
        </w:rPr>
        <w:t>.</w:t>
      </w:r>
      <w:r>
        <w:rPr>
          <w:sz w:val="24"/>
        </w:rPr>
        <w:t xml:space="preserve"> to the Trust on the date hereof, in full satisfaction of Enron Corp’s obligations to the Trust under the Total Return Swap Agreement on the Initial Payment Date (as defined therein).</w:t>
      </w:r>
    </w:p>
    <w:p>
      <w:pPr>
        <w:pStyle w:val="Normal"/>
        <w:widowControl w:val="false"/>
        <w:jc w:val="both"/>
        <w:rPr>
          <w:sz w:val="24"/>
        </w:rPr>
      </w:pPr>
      <w:r>
        <w:rPr>
          <w:sz w:val="24"/>
        </w:rPr>
      </w:r>
    </w:p>
    <w:p>
      <w:pPr>
        <w:pStyle w:val="Normal"/>
        <w:widowControl w:val="false"/>
        <w:jc w:val="both"/>
        <w:rPr/>
      </w:pPr>
      <w:r>
        <w:rPr>
          <w:sz w:val="24"/>
        </w:rPr>
        <w:tab/>
        <w:tab/>
        <w:tab/>
        <w:tab/>
      </w:r>
      <w:r>
        <w:rPr>
          <w:sz w:val="24"/>
          <w:u w:val="single"/>
        </w:rPr>
        <w:t>Wire Instructions</w:t>
      </w:r>
      <w:r>
        <w:rPr>
          <w:sz w:val="24"/>
        </w:rPr>
        <w: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sz w:val="24"/>
        </w:rPr>
      </w:pPr>
      <w:r>
        <w:rPr>
          <w:sz w:val="24"/>
        </w:rPr>
        <w:tab/>
        <w:t>Credit Bank:</w:t>
        <w:tab/>
        <w:tab/>
        <w:t>Wilmington Trust Company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sz w:val="24"/>
        </w:rPr>
      </w:pPr>
      <w:r>
        <w:rPr>
          <w:sz w:val="24"/>
        </w:rPr>
        <w:tab/>
        <w:t>Address:</w:t>
        <w:tab/>
        <w:tab/>
        <w:t>Rodney Square North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sz w:val="24"/>
        </w:rPr>
      </w:pPr>
      <w:r>
        <w:rPr>
          <w:sz w:val="24"/>
        </w:rPr>
        <w:tab/>
        <w:t>1100 North Market Street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sz w:val="24"/>
        </w:rPr>
      </w:pPr>
      <w:r>
        <w:rPr>
          <w:sz w:val="24"/>
        </w:rPr>
        <w:tab/>
        <w:t>Wilmington, Delaware 19890-001</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880" w:end="0"/>
        <w:jc w:val="both"/>
        <w:rPr>
          <w:sz w:val="24"/>
        </w:rPr>
      </w:pPr>
      <w:r>
        <w:rPr>
          <w:sz w:val="24"/>
        </w:rPr>
        <w:tab/>
        <w:t>ABA:</w:t>
        <w:tab/>
        <w:tab/>
        <w:tab/>
      </w:r>
      <w:bookmarkStart w:id="2" w:name="Redline_4"/>
      <w:bookmarkEnd w:id="2"/>
      <w:r>
        <w:rPr>
          <w:strike/>
          <w:sz w:val="24"/>
        </w:rPr>
        <w:t>[</w:t>
      </w:r>
      <w:r>
        <w:rPr>
          <w:sz w:val="24"/>
        </w:rPr>
        <w:t>031-100-092</w:t>
      </w:r>
      <w:r>
        <w:rPr>
          <w:strike/>
          <w:sz w:val="24"/>
        </w:rPr>
        <w: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sz w:val="24"/>
        </w:rPr>
      </w:pPr>
      <w:r>
        <w:rPr>
          <w:sz w:val="24"/>
        </w:rPr>
        <w:tab/>
        <w:t>Account No.:</w:t>
        <w:tab/>
        <w:tab/>
      </w:r>
      <w:r>
        <w:rPr>
          <w:strike/>
          <w:sz w:val="24"/>
        </w:rPr>
        <w:t>[</w:t>
      </w:r>
      <w:r>
        <w:rPr>
          <w:sz w:val="24"/>
        </w:rPr>
        <w:t>50509-0</w:t>
      </w:r>
      <w:r>
        <w:rPr>
          <w:strike/>
          <w:sz w:val="24"/>
        </w:rPr>
        <w: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sz w:val="24"/>
        </w:rPr>
      </w:pPr>
      <w:r>
        <w:rPr>
          <w:sz w:val="24"/>
        </w:rPr>
        <w:tab/>
        <w:t>Attention:</w:t>
        <w:tab/>
        <w:tab/>
        <w:t>Corporate Trust Administration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sz w:val="24"/>
        </w:rPr>
      </w:pPr>
      <w:r>
        <w:rPr>
          <w:sz w:val="24"/>
        </w:rPr>
        <w:tab/>
        <w:t>Reference:</w:t>
        <w:tab/>
        <w:tab/>
        <w:t>Hawaii II 125-0 Trust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4"/>
        </w:rPr>
        <w:tab/>
        <w:t>(iii)</w:t>
        <w:tab/>
        <w:t xml:space="preserve">Wilmington Trust Company, as owner trustee of the Hawaii 125-0 Trust, shall pay to CIBC, in its capacity as Agent under the Facility Agreement, </w:t>
      </w:r>
      <w:r>
        <w:rPr>
          <w:strike/>
          <w:sz w:val="24"/>
        </w:rPr>
        <w:t>$__________________</w:t>
      </w:r>
      <w:bookmarkStart w:id="3" w:name="Redline_2"/>
      <w:bookmarkEnd w:id="3"/>
      <w:r>
        <w:rPr>
          <w:b/>
          <w:color w:val="FF0000"/>
          <w:sz w:val="24"/>
          <w:u w:val="double"/>
        </w:rPr>
        <w:t>$766,156.19</w:t>
      </w:r>
      <w:r>
        <w:rPr>
          <w:sz w:val="24"/>
        </w:rPr>
        <w:t>, which represents the net funds received from Enron Corp. pursuant to the Total Return Swap Agreement, in full satisfaction of all interest</w:t>
      </w:r>
      <w:r>
        <w:rPr>
          <w:strike/>
          <w:sz w:val="24"/>
        </w:rPr>
        <w:t>, breakage costs</w:t>
      </w:r>
      <w:r>
        <w:rPr>
          <w:sz w:val="24"/>
        </w:rPr>
        <w:t xml:space="preserve"> and other amounts (exclusive of principal </w:t>
      </w:r>
      <w:r>
        <w:rPr>
          <w:strike/>
          <w:sz w:val="24"/>
        </w:rPr>
        <w:t>)</w:t>
      </w:r>
      <w:r>
        <w:rPr>
          <w:sz w:val="24"/>
        </w:rPr>
        <w:t xml:space="preserve"> </w:t>
      </w:r>
      <w:r>
        <w:rPr>
          <w:b/>
          <w:color w:val="FF0000"/>
          <w:sz w:val="24"/>
          <w:u w:val="double"/>
        </w:rPr>
        <w:t>and breakage costs)</w:t>
      </w:r>
      <w:r>
        <w:rPr>
          <w:sz w:val="24"/>
        </w:rPr>
        <w:t xml:space="preserve"> due and owing by the Hawaii II 125-0 Trust under the Hawaii Facility Agreement.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4"/>
        </w:rPr>
        <w:tab/>
        <w:tab/>
        <w:tab/>
        <w:tab/>
      </w:r>
      <w:r>
        <w:rPr>
          <w:sz w:val="24"/>
          <w:u w:val="single"/>
        </w:rPr>
        <w:t>Wire Instructions</w:t>
      </w:r>
      <w:r>
        <w:rPr>
          <w:sz w:val="24"/>
        </w:rPr>
        <w: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ab/>
        <w:tab/>
        <w:t>Credit Bank:</w:t>
        <w:tab/>
        <w:tab/>
      </w:r>
      <w:r>
        <w:rPr>
          <w:b/>
          <w:color w:val="FF0000"/>
          <w:sz w:val="24"/>
          <w:u w:val="double"/>
        </w:rPr>
        <w:t>Bank of New York</w:t>
      </w:r>
      <w:r>
        <w:rPr>
          <w:sz w:val="24"/>
        </w:rPr>
        <w:t xml:space="preserve"> </w:t>
      </w:r>
      <w:r>
        <w:rPr>
          <w:strike/>
          <w:sz w:val="24"/>
        </w:rPr>
        <w:t xml:space="preserve">ABA: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ab/>
        <w:tab/>
      </w:r>
      <w:r>
        <w:rPr>
          <w:strike/>
          <w:sz w:val="24"/>
        </w:rPr>
        <w:t xml:space="preserve">Credit to: </w:t>
      </w:r>
      <w:r>
        <w:rPr>
          <w:b/>
          <w:color w:val="FF0000"/>
          <w:sz w:val="24"/>
          <w:u w:val="double"/>
        </w:rPr>
        <w:t>ABA:</w:t>
        <w:tab/>
        <w:t xml:space="preserve"> </w:t>
        <w:tab/>
        <w:tab/>
        <w:t>021-000-018</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ab/>
        <w:tab/>
      </w:r>
      <w:r>
        <w:rPr>
          <w:strike/>
          <w:sz w:val="24"/>
        </w:rPr>
        <w:t xml:space="preserve">Account No.: </w:t>
      </w:r>
      <w:r>
        <w:rPr>
          <w:b/>
          <w:color w:val="FF0000"/>
          <w:sz w:val="24"/>
          <w:u w:val="double"/>
        </w:rPr>
        <w:t xml:space="preserve">Credit to:   </w:t>
        <w:tab/>
        <w:tab/>
        <w:t>Canadian Imperial Bank of Commerce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4"/>
        </w:rPr>
        <w:tab/>
        <w:tab/>
        <w:tab/>
      </w:r>
      <w:r>
        <w:rPr>
          <w:strike/>
          <w:sz w:val="24"/>
        </w:rPr>
        <w:t>Reference:</w:t>
      </w:r>
      <w:r>
        <w:rPr>
          <w:sz w:val="24"/>
        </w:rPr>
        <w:t xml:space="preserve"> </w:t>
      </w:r>
      <w:r>
        <w:rPr>
          <w:b/>
          <w:color w:val="FF0000"/>
          <w:sz w:val="24"/>
          <w:u w:val="double"/>
        </w:rPr>
        <w:t>Account No.:</w:t>
        <w:tab/>
        <w:tab/>
        <w:t>890-0331-046</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FF0000"/>
          <w:sz w:val="24"/>
          <w:u w:val="double"/>
        </w:rPr>
      </w:pPr>
      <w:r>
        <w:rPr>
          <w:b/>
          <w:color w:val="FF0000"/>
          <w:sz w:val="24"/>
          <w:u w:val="double"/>
        </w:rPr>
        <w:tab/>
        <w:tab/>
        <w:tab/>
        <w:t>Further Credit:</w:t>
        <w:tab/>
        <w:tab/>
        <w:t>Agented Loans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FF0000"/>
          <w:sz w:val="24"/>
          <w:u w:val="double"/>
        </w:rPr>
      </w:pPr>
      <w:r>
        <w:rPr>
          <w:b/>
          <w:color w:val="FF0000"/>
          <w:sz w:val="24"/>
          <w:u w:val="double"/>
        </w:rPr>
        <w:tab/>
        <w:tab/>
        <w:tab/>
        <w:t>Account:</w:t>
        <w:tab/>
        <w:tab/>
        <w:t>07-09611</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b/>
          <w:color w:val="FF0000"/>
          <w:sz w:val="24"/>
          <w:u w:val="double"/>
        </w:rPr>
        <w:tab/>
        <w:tab/>
        <w:tab/>
        <w:t>Attn:</w:t>
        <w:tab/>
        <w:tab/>
        <w:tab/>
        <w:t>Agency Services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val="false"/>
        <w:tabs>
          <w:tab w:val="clear" w:pos="720"/>
          <w:tab w:val="center" w:pos="4680" w:leader="none"/>
        </w:tabs>
        <w:jc w:val="both"/>
        <w:rPr>
          <w:sz w:val="24"/>
        </w:rPr>
      </w:pPr>
      <w:r>
        <w:rPr>
          <w:sz w:val="24"/>
        </w:rPr>
        <w:tab/>
        <w:t>[Remainder of Page Intentionally Left Blank]</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sectPr>
          <w:headerReference w:type="even" r:id="rId2"/>
          <w:headerReference w:type="default" r:id="rId3"/>
          <w:footerReference w:type="even" r:id="rId4"/>
          <w:footerReference w:type="default" r:id="rId5"/>
          <w:type w:val="nextPage"/>
          <w:pgSz w:w="12240" w:h="15840"/>
          <w:pgMar w:left="1440" w:right="1440" w:gutter="0" w:header="1440" w:top="1496" w:footer="1440" w:bottom="1920"/>
          <w:pgNumType w:fmt="decimal"/>
          <w:formProt w:val="false"/>
          <w:textDirection w:val="lrTb"/>
          <w:docGrid w:type="default" w:linePitch="360" w:charSpace="0"/>
        </w:sectPr>
      </w:pP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rPr/>
      </w:pPr>
      <w:r>
        <w:rPr>
          <w:sz w:val="24"/>
        </w:rPr>
        <w:tab/>
        <w:tab/>
        <w:tab/>
        <w:tab/>
        <w:tab/>
      </w:r>
      <w:r>
        <w:rPr>
          <w:b/>
          <w:sz w:val="24"/>
        </w:rPr>
        <w:t>CANADIAN IMPERIAL BANK OF COMMERCE,</w:t>
      </w:r>
      <w:r>
        <w:rPr>
          <w:sz w:val="24"/>
        </w:rPr>
        <w:t xml:space="preserve"> as Agent under the Facility Agreement and the Hawaii Facility Agreement</w:t>
      </w:r>
    </w:p>
    <w:p>
      <w:pPr>
        <w:pStyle w:val="Normal"/>
        <w:keepNext w:val="fals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keepLines w:val="false"/>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right" w:pos="9360" w:leader="none"/>
        </w:tabs>
        <w:rPr>
          <w:sz w:val="24"/>
        </w:rPr>
      </w:pPr>
      <w:r>
        <w:rPr>
          <w:sz w:val="24"/>
        </w:rPr>
        <w:tab/>
        <w:tab/>
        <w:tab/>
        <w:tab/>
        <w:tab/>
        <w:tab/>
        <w:t>By:</w:t>
      </w:r>
      <w:r>
        <w:rPr>
          <w:sz w:val="24"/>
          <w:u w:val="single"/>
        </w:rPr>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right" w:pos="9360" w:leader="none"/>
        </w:tabs>
        <w:rPr>
          <w:sz w:val="24"/>
        </w:rPr>
      </w:pPr>
      <w:r>
        <w:rPr>
          <w:sz w:val="24"/>
        </w:rPr>
        <w:tab/>
        <w:tab/>
        <w:tab/>
        <w:tab/>
        <w:tab/>
        <w:tab/>
        <w:t>Name:</w:t>
      </w:r>
      <w:r>
        <w:rPr>
          <w:sz w:val="24"/>
          <w:u w:val="single"/>
        </w:rPr>
        <w:tab/>
      </w:r>
    </w:p>
    <w:p>
      <w:pPr>
        <w:sectPr>
          <w:type w:val="continuous"/>
          <w:pgSz w:w="12240" w:h="15840"/>
          <w:pgMar w:left="1440" w:right="1440" w:gutter="0" w:header="1440" w:top="1496" w:footer="1440" w:bottom="1920"/>
          <w:formProt w:val="false"/>
          <w:textDirection w:val="lrTb"/>
          <w:docGrid w:type="default" w:linePitch="360" w:charSpace="0"/>
        </w:sect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right" w:pos="9360" w:leader="none"/>
        </w:tabs>
        <w:rPr>
          <w:sz w:val="24"/>
        </w:rPr>
      </w:pPr>
      <w:r>
        <w:rPr>
          <w:sz w:val="24"/>
        </w:rPr>
        <w:tab/>
        <w:tab/>
        <w:tab/>
        <w:tab/>
        <w:tab/>
        <w:tab/>
        <w:t>Title:</w:t>
      </w:r>
      <w:r>
        <w:rPr>
          <w:sz w:val="24"/>
          <w:u w:val="single"/>
        </w:rPr>
        <w:tab/>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sectPr>
          <w:headerReference w:type="even" r:id="rId6"/>
          <w:headerReference w:type="default" r:id="rId7"/>
          <w:footerReference w:type="even" r:id="rId8"/>
          <w:footerReference w:type="default" r:id="rId9"/>
          <w:type w:val="nextPage"/>
          <w:pgSz w:w="12240" w:h="15840"/>
          <w:pgMar w:left="1440" w:right="1440" w:gutter="0" w:header="1440" w:top="1496" w:footer="1440" w:bottom="1496"/>
          <w:pgNumType w:fmt="decimal"/>
          <w:formProt w:val="false"/>
          <w:textDirection w:val="lrTb"/>
          <w:docGrid w:type="default" w:linePitch="360" w:charSpace="0"/>
        </w:sectPr>
      </w:pP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rPr>
          <w:sz w:val="24"/>
        </w:rPr>
      </w:pPr>
      <w:r>
        <w:rPr>
          <w:sz w:val="24"/>
        </w:rPr>
        <w:tab/>
      </w:r>
      <w:r>
        <w:rPr>
          <w:b/>
          <w:sz w:val="24"/>
        </w:rPr>
        <w:t>HAWAII II 125-0 TRUST,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600" w:end="0"/>
        <w:rPr>
          <w:sz w:val="24"/>
        </w:rPr>
      </w:pPr>
      <w:r>
        <w:rPr>
          <w:sz w:val="24"/>
        </w:rPr>
        <w:tab/>
        <w:tab/>
        <w:t>a Delaware Business Trust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rPr>
          <w:sz w:val="24"/>
        </w:rPr>
      </w:pPr>
      <w:r>
        <w:rPr>
          <w:sz w:val="24"/>
        </w:rPr>
        <w:tab/>
        <w:t>By:</w:t>
        <w:tab/>
        <w:t>Wilmington Trust Company,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rPr>
          <w:sz w:val="24"/>
        </w:rPr>
      </w:pPr>
      <w:r>
        <w:rPr>
          <w:sz w:val="24"/>
        </w:rPr>
        <w:tab/>
        <w:tab/>
        <w:t>not in its individual capacity, but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rPr>
          <w:sz w:val="24"/>
        </w:rPr>
      </w:pPr>
      <w:r>
        <w:rPr>
          <w:sz w:val="24"/>
        </w:rPr>
        <w:tab/>
        <w:tab/>
        <w:t>solely as Owner Trustee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right" w:pos="9360" w:leader="none"/>
        </w:tabs>
        <w:rPr>
          <w:sz w:val="24"/>
        </w:rPr>
      </w:pPr>
      <w:r>
        <w:rPr>
          <w:sz w:val="24"/>
        </w:rPr>
        <w:tab/>
        <w:tab/>
        <w:tab/>
        <w:tab/>
        <w:tab/>
        <w:tab/>
        <w:t>By:</w:t>
      </w:r>
      <w:r>
        <w:rPr>
          <w:sz w:val="24"/>
          <w:u w:val="single"/>
        </w:rPr>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right" w:pos="9360" w:leader="none"/>
        </w:tabs>
        <w:rPr>
          <w:sz w:val="24"/>
        </w:rPr>
      </w:pPr>
      <w:r>
        <w:rPr>
          <w:sz w:val="24"/>
        </w:rPr>
        <w:tab/>
        <w:tab/>
        <w:tab/>
        <w:tab/>
        <w:tab/>
        <w:tab/>
        <w:t>Name:</w:t>
      </w:r>
      <w:r>
        <w:rPr>
          <w:sz w:val="24"/>
          <w:u w:val="single"/>
        </w:rPr>
        <w:tab/>
      </w:r>
    </w:p>
    <w:p>
      <w:pPr>
        <w:sectPr>
          <w:type w:val="continuous"/>
          <w:pgSz w:w="12240" w:h="15840"/>
          <w:pgMar w:left="1440" w:right="1440" w:gutter="0" w:header="1440" w:top="1496" w:footer="1440" w:bottom="1496"/>
          <w:formProt w:val="false"/>
          <w:textDirection w:val="lrTb"/>
          <w:docGrid w:type="default" w:linePitch="360" w:charSpace="0"/>
        </w:sect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right" w:pos="9360" w:leader="none"/>
        </w:tabs>
        <w:rPr>
          <w:sz w:val="24"/>
        </w:rPr>
      </w:pPr>
      <w:r>
        <w:rPr>
          <w:sz w:val="24"/>
        </w:rPr>
        <w:tab/>
        <w:tab/>
        <w:tab/>
        <w:tab/>
        <w:tab/>
        <w:tab/>
        <w:t>Title:</w:t>
      </w:r>
      <w:r>
        <w:rPr>
          <w:sz w:val="24"/>
          <w:u w:val="single"/>
        </w:rPr>
        <w:tab/>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sectPr>
          <w:headerReference w:type="even" r:id="rId10"/>
          <w:headerReference w:type="default" r:id="rId11"/>
          <w:footerReference w:type="even" r:id="rId12"/>
          <w:footerReference w:type="default" r:id="rId13"/>
          <w:type w:val="nextPage"/>
          <w:pgSz w:w="12240" w:h="15840"/>
          <w:pgMar w:left="1440" w:right="1440" w:gutter="0" w:header="1440" w:top="1496" w:footer="1440" w:bottom="1496"/>
          <w:pgNumType w:fmt="decimal"/>
          <w:formProt w:val="false"/>
          <w:textDirection w:val="lrTb"/>
          <w:docGrid w:type="default" w:linePitch="360" w:charSpace="0"/>
        </w:sectPr>
      </w:pP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rPr/>
      </w:pPr>
      <w:r>
        <w:rPr>
          <w:sz w:val="24"/>
        </w:rPr>
        <w:tab/>
      </w:r>
      <w:r>
        <w:rPr>
          <w:b/>
          <w:sz w:val="24"/>
        </w:rPr>
        <w:t>ENRON CORP.</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right" w:pos="9360" w:leader="none"/>
        </w:tabs>
        <w:rPr>
          <w:sz w:val="24"/>
        </w:rPr>
      </w:pPr>
      <w:r>
        <w:rPr>
          <w:sz w:val="24"/>
        </w:rPr>
        <w:tab/>
        <w:tab/>
        <w:tab/>
        <w:tab/>
        <w:tab/>
        <w:tab/>
        <w:t>By:</w:t>
      </w:r>
      <w:r>
        <w:rPr>
          <w:sz w:val="24"/>
          <w:u w:val="single"/>
        </w:rPr>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right" w:pos="9360" w:leader="none"/>
        </w:tabs>
        <w:rPr>
          <w:sz w:val="24"/>
        </w:rPr>
      </w:pPr>
      <w:r>
        <w:rPr>
          <w:sz w:val="24"/>
        </w:rPr>
        <w:tab/>
        <w:tab/>
        <w:tab/>
        <w:tab/>
        <w:tab/>
        <w:tab/>
        <w:t>Name:</w:t>
      </w:r>
      <w:r>
        <w:rPr>
          <w:sz w:val="24"/>
          <w:u w:val="single"/>
        </w:rPr>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right" w:pos="9360" w:leader="none"/>
        </w:tabs>
        <w:rPr>
          <w:sz w:val="24"/>
        </w:rPr>
      </w:pPr>
      <w:r>
        <w:rPr>
          <w:sz w:val="24"/>
        </w:rPr>
        <w:tab/>
        <w:tab/>
        <w:tab/>
        <w:tab/>
        <w:tab/>
        <w:tab/>
        <w:t>Title:</w:t>
      </w:r>
      <w:r>
        <w:rPr>
          <w:sz w:val="24"/>
          <w:u w:val="single"/>
        </w:rPr>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r>
    </w:p>
    <w:p>
      <w:pPr>
        <w:sectPr>
          <w:type w:val="continuous"/>
          <w:pgSz w:w="12240" w:h="15840"/>
          <w:pgMar w:left="1440" w:right="1440" w:gutter="0" w:header="1440" w:top="1496" w:footer="1440" w:bottom="1496"/>
          <w:formProt w:val="false"/>
          <w:textDirection w:val="lrTb"/>
          <w:docGrid w:type="default" w:linePitch="360" w:charSpace="0"/>
        </w:sect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 xml:space="preserve">This redlined draft, generated by CompareRite (TM) - The Instant Redliner, shows the differences between -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original document   : C:\DOCUME~1\KRECC\LOCALS~1\TEMP\DAL_269105_1</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and revised document: C:\DOCUME~1\KRECC\LOCALS~1\TEMP\DAL_269105_2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CompareRite found   22 change(s) in the text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 xml:space="preserve">Deletions appear as Strikethrough text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sz w:val="24"/>
        </w:rPr>
      </w:pPr>
      <w:r>
        <w:rPr>
          <w:sz w:val="24"/>
        </w:rPr>
        <w:t xml:space="preserve">Additions appear as Bold+Dbl Underline text </w:t>
      </w:r>
    </w:p>
    <w:sectPr>
      <w:headerReference w:type="even" r:id="rId14"/>
      <w:headerReference w:type="default" r:id="rId15"/>
      <w:footerReference w:type="even" r:id="rId16"/>
      <w:footerReference w:type="default" r:id="rId17"/>
      <w:type w:val="nextPage"/>
      <w:pgSz w:w="12240" w:h="15840"/>
      <w:pgMar w:left="1440" w:right="144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14"/>
      </w:rPr>
    </w:pPr>
    <w:r>
      <w:rPr>
        <w:sz w:val="14"/>
      </w:rPr>
      <w:t>DAL:269105.2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14"/>
      </w:rPr>
    </w:pPr>
    <w:r>
      <w:rPr>
        <w:sz w:val="14"/>
      </w:rPr>
      <w:t>DAL:269105.2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14"/>
      </w:rPr>
    </w:pPr>
    <w:r>
      <w:rPr>
        <w:sz w:val="14"/>
      </w:rPr>
      <w:t>DAL:269105.2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14"/>
      </w:rPr>
    </w:pPr>
    <w:r>
      <w:rPr>
        <w:sz w:val="14"/>
      </w:rPr>
      <w:t>DAL:269105.2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14"/>
      </w:rPr>
    </w:pPr>
    <w:r>
      <w:rPr>
        <w:sz w:val="14"/>
      </w:rPr>
      <w:t>DAL:269105.2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14"/>
      </w:rPr>
    </w:pPr>
    <w:r>
      <w:rPr>
        <w:sz w:val="14"/>
      </w:rPr>
      <w:t>DAL:269105.2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14"/>
      </w:rPr>
    </w:pPr>
    <w:r>
      <w:rPr>
        <w:sz w:val="14"/>
      </w:rPr>
      <w:t>DAL:269105.2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14"/>
      </w:rPr>
    </w:pPr>
    <w:r>
      <w:rPr>
        <w:sz w:val="14"/>
      </w:rPr>
      <w:t>DAL:269105.2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widowControl w:val="fals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