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header4.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pPr>
      <w:r>
        <w:rPr>
          <w:sz w:val="24"/>
        </w:rPr>
      </w:r>
      <w:r>
        <w:rPr>
          <w:b/>
          <w:sz w:val="24"/>
        </w:rPr>
        <w:t xml:space="preserve">DIRECTION LETTER TO OWNER TRUSTEE </w:t>
      </w:r>
    </w:p>
    <w:p>
      <w:pPr>
        <w:pStyle w:val="Normal"/>
        <w:widowControl/>
        <w:jc w:val="center"/>
        <w:rPr>
          <w:sz w:val="24"/>
        </w:rPr>
      </w:pPr>
      <w:r>
        <w:rPr>
          <w:b/>
          <w:sz w:val="24"/>
        </w:rPr>
        <w:t>OF HAWAII II 125-0 TRUST</w:t>
      </w:r>
    </w:p>
    <w:p>
      <w:pPr>
        <w:pStyle w:val="Normal"/>
        <w:widowControl/>
        <w:jc w:val="center"/>
        <w:rPr>
          <w:sz w:val="24"/>
        </w:rPr>
      </w:pPr>
      <w:r>
        <w:rPr>
          <w:sz w:val="24"/>
        </w:rPr>
      </w:r>
    </w:p>
    <w:p>
      <w:pPr>
        <w:pStyle w:val="Normal"/>
        <w:widowControl/>
        <w:jc w:val="center"/>
        <w:rPr>
          <w:sz w:val="24"/>
        </w:rPr>
      </w:pPr>
      <w:r>
        <w:rPr>
          <w:sz w:val="24"/>
        </w:rPr>
        <w:t>November 17, 2000</w:t>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t>Hawaii 125-0 Trust</w:t>
      </w:r>
    </w:p>
    <w:p>
      <w:pPr>
        <w:pStyle w:val="Normal"/>
        <w:widowControl/>
        <w:jc w:val="both"/>
        <w:rPr>
          <w:sz w:val="24"/>
        </w:rPr>
      </w:pPr>
      <w:r>
        <w:rPr>
          <w:sz w:val="24"/>
        </w:rPr>
        <w:t>c/o Wilmington Trust Company, as Owner Trustee</w:t>
      </w:r>
    </w:p>
    <w:p>
      <w:pPr>
        <w:pStyle w:val="Normal"/>
        <w:widowControl/>
        <w:jc w:val="both"/>
        <w:rPr>
          <w:sz w:val="24"/>
        </w:rPr>
      </w:pPr>
      <w:r>
        <w:rPr>
          <w:sz w:val="24"/>
        </w:rPr>
        <w:t>Rodney Square North</w:t>
      </w:r>
    </w:p>
    <w:p>
      <w:pPr>
        <w:pStyle w:val="Normal"/>
        <w:widowControl/>
        <w:jc w:val="both"/>
        <w:rPr>
          <w:sz w:val="24"/>
        </w:rPr>
      </w:pPr>
      <w:r>
        <w:rPr>
          <w:sz w:val="24"/>
        </w:rPr>
        <w:t>1100 North Market Street</w:t>
      </w:r>
    </w:p>
    <w:p>
      <w:pPr>
        <w:pStyle w:val="Normal"/>
        <w:widowControl/>
        <w:jc w:val="both"/>
        <w:rPr>
          <w:sz w:val="24"/>
        </w:rPr>
      </w:pPr>
      <w:r>
        <w:rPr>
          <w:sz w:val="24"/>
        </w:rPr>
        <w:t>Wilmington, Delaware 19890-001</w:t>
      </w:r>
    </w:p>
    <w:p>
      <w:pPr>
        <w:pStyle w:val="Normal"/>
        <w:widowControl/>
        <w:jc w:val="both"/>
        <w:rPr>
          <w:sz w:val="24"/>
        </w:rPr>
      </w:pPr>
      <w:r>
        <w:rPr>
          <w:sz w:val="24"/>
        </w:rPr>
        <w:t>Attn: Corporate Trust Department</w:t>
      </w:r>
    </w:p>
    <w:p>
      <w:pPr>
        <w:pStyle w:val="Normal"/>
        <w:widowControl/>
        <w:jc w:val="both"/>
        <w:rPr>
          <w:sz w:val="24"/>
        </w:rPr>
      </w:pPr>
      <w:r>
        <w:rPr>
          <w:sz w:val="24"/>
        </w:rPr>
      </w:r>
    </w:p>
    <w:p>
      <w:pPr>
        <w:pStyle w:val="Normal"/>
        <w:widowControl/>
        <w:jc w:val="both"/>
        <w:rPr>
          <w:sz w:val="24"/>
        </w:rPr>
      </w:pPr>
      <w:r>
        <w:rPr>
          <w:sz w:val="24"/>
        </w:rPr>
        <w:tab/>
        <w:t>Re:</w:t>
        <w:tab/>
        <w:t>Hawaii II 125-0 Trust (the “Trust”)</w:t>
      </w:r>
    </w:p>
    <w:p>
      <w:pPr>
        <w:pStyle w:val="Normal"/>
        <w:widowControl/>
        <w:jc w:val="both"/>
        <w:rPr>
          <w:sz w:val="24"/>
        </w:rPr>
      </w:pPr>
      <w:r>
        <w:rPr>
          <w:sz w:val="24"/>
        </w:rPr>
      </w:r>
    </w:p>
    <w:p>
      <w:pPr>
        <w:pStyle w:val="Normal"/>
        <w:widowControl/>
        <w:jc w:val="both"/>
        <w:rPr>
          <w:sz w:val="24"/>
        </w:rPr>
      </w:pPr>
      <w:r>
        <w:rPr>
          <w:sz w:val="24"/>
        </w:rPr>
        <w:t>Ladies and Gentlemen:</w:t>
      </w:r>
    </w:p>
    <w:p>
      <w:pPr>
        <w:pStyle w:val="Normal"/>
        <w:widowControl/>
        <w:jc w:val="both"/>
        <w:rPr>
          <w:sz w:val="24"/>
        </w:rPr>
      </w:pPr>
      <w:r>
        <w:rPr>
          <w:sz w:val="24"/>
        </w:rPr>
      </w:r>
    </w:p>
    <w:p>
      <w:pPr>
        <w:pStyle w:val="Normal"/>
        <w:widowControl/>
        <w:jc w:val="both"/>
        <w:rPr>
          <w:sz w:val="24"/>
        </w:rPr>
      </w:pPr>
      <w:r>
        <w:rPr>
          <w:sz w:val="24"/>
        </w:rPr>
        <w:tab/>
        <w:t>CIBC Inc. (“CIBC Inc.”) is the sole beneficial owner of the Hawaii II 125-0 Trust Certificate under the Trust Agreement dated November 17, 2000 (the “Trust Agreement”) between Wilmington Trust Company, as Owner Trustee (the “Owner Trustee”) and CIBC Inc., as the initial Certificate Holder.  In such capacity and pursuant to the Trust Agreement, CIBC Inc. hereby requests and directs you to execute, not in your individual capacity but as owner trustee, the following documents:</w:t>
      </w:r>
    </w:p>
    <w:p>
      <w:pPr>
        <w:pStyle w:val="Normal"/>
        <w:widowControl/>
        <w:jc w:val="both"/>
        <w:rPr>
          <w:sz w:val="24"/>
        </w:rPr>
      </w:pPr>
      <w:r>
        <w:rPr>
          <w:sz w:val="24"/>
        </w:rPr>
      </w:r>
    </w:p>
    <w:p>
      <w:pPr>
        <w:pStyle w:val="Normal"/>
        <w:widowControl/>
        <w:jc w:val="both"/>
        <w:rPr>
          <w:sz w:val="24"/>
        </w:rPr>
      </w:pPr>
      <w:r>
        <w:rPr>
          <w:sz w:val="24"/>
        </w:rPr>
        <w:tab/>
        <w:t xml:space="preserve">(1) </w:t>
        <w:tab/>
        <w:t>Reimbursement and Disclosure Agreement, dated November 17, 2000, by and between the Trust, CIBC Inc. and Enron Corp.;</w:t>
      </w:r>
    </w:p>
    <w:p>
      <w:pPr>
        <w:pStyle w:val="Normal"/>
        <w:widowControl/>
        <w:jc w:val="both"/>
        <w:rPr>
          <w:sz w:val="24"/>
        </w:rPr>
      </w:pPr>
      <w:r>
        <w:rPr>
          <w:sz w:val="24"/>
        </w:rPr>
      </w:r>
    </w:p>
    <w:p>
      <w:pPr>
        <w:pStyle w:val="Normal"/>
        <w:widowControl/>
        <w:jc w:val="both"/>
        <w:rPr>
          <w:sz w:val="24"/>
        </w:rPr>
      </w:pPr>
      <w:r>
        <w:rPr>
          <w:sz w:val="24"/>
        </w:rPr>
        <w:tab/>
        <w:t>(2)</w:t>
        <w:tab/>
        <w:t>Distribution Agreement, dated November 17, 2000, executed by the Trust.;</w:t>
      </w:r>
    </w:p>
    <w:p>
      <w:pPr>
        <w:pStyle w:val="Normal"/>
        <w:widowControl/>
        <w:jc w:val="both"/>
        <w:rPr>
          <w:sz w:val="24"/>
        </w:rPr>
      </w:pPr>
      <w:r>
        <w:rPr>
          <w:sz w:val="24"/>
        </w:rPr>
      </w:r>
    </w:p>
    <w:p>
      <w:pPr>
        <w:pStyle w:val="Normal"/>
        <w:widowControl/>
        <w:jc w:val="both"/>
        <w:rPr>
          <w:sz w:val="24"/>
        </w:rPr>
      </w:pPr>
      <w:r>
        <w:rPr>
          <w:sz w:val="24"/>
        </w:rPr>
        <w:tab/>
        <w:t>(3)</w:t>
        <w:tab/>
        <w:t>Subscription Agreement, dated November 17, 2000, by and between the Trust, CIBC Inc., and Enron Corp.;</w:t>
      </w:r>
    </w:p>
    <w:p>
      <w:pPr>
        <w:pStyle w:val="Normal"/>
        <w:widowControl/>
        <w:jc w:val="both"/>
        <w:rPr>
          <w:sz w:val="24"/>
        </w:rPr>
      </w:pPr>
      <w:r>
        <w:rPr>
          <w:sz w:val="24"/>
        </w:rPr>
      </w:r>
    </w:p>
    <w:p>
      <w:pPr>
        <w:pStyle w:val="Normal"/>
        <w:widowControl/>
        <w:jc w:val="both"/>
        <w:rPr>
          <w:sz w:val="24"/>
        </w:rPr>
      </w:pPr>
      <w:r>
        <w:rPr>
          <w:sz w:val="24"/>
        </w:rPr>
        <w:tab/>
        <w:t xml:space="preserve">(4) </w:t>
        <w:tab/>
        <w:t>ISDA Master Agreement between the Trust and Enron;</w:t>
      </w:r>
    </w:p>
    <w:p>
      <w:pPr>
        <w:pStyle w:val="Normal"/>
        <w:widowControl/>
        <w:jc w:val="both"/>
        <w:rPr>
          <w:sz w:val="24"/>
        </w:rPr>
      </w:pPr>
      <w:r>
        <w:rPr>
          <w:sz w:val="24"/>
        </w:rPr>
      </w:r>
    </w:p>
    <w:p>
      <w:pPr>
        <w:pStyle w:val="Normal"/>
        <w:widowControl/>
        <w:jc w:val="both"/>
        <w:rPr>
          <w:sz w:val="24"/>
        </w:rPr>
      </w:pPr>
      <w:r>
        <w:rPr>
          <w:sz w:val="24"/>
        </w:rPr>
        <w:tab/>
        <w:t>(5)       Swap Schedule, dated November 17, 2000, by and between the Trust and Enron Corp.;</w:t>
      </w:r>
    </w:p>
    <w:p>
      <w:pPr>
        <w:pStyle w:val="Normal"/>
        <w:widowControl/>
        <w:jc w:val="both"/>
        <w:rPr>
          <w:sz w:val="24"/>
        </w:rPr>
      </w:pPr>
      <w:r>
        <w:rPr>
          <w:sz w:val="24"/>
        </w:rPr>
      </w:r>
    </w:p>
    <w:p>
      <w:pPr>
        <w:pStyle w:val="Normal"/>
        <w:widowControl/>
        <w:jc w:val="both"/>
        <w:rPr>
          <w:sz w:val="24"/>
        </w:rPr>
      </w:pPr>
      <w:r>
        <w:rPr>
          <w:sz w:val="24"/>
        </w:rPr>
        <w:tab/>
        <w:t>(6)</w:t>
        <w:tab/>
        <w:t>Termination of Hawaii Facility Agreement, dated November 17, 2000, by and between the Trust, Enron Corp. and CIBC Inc.;</w:t>
      </w:r>
    </w:p>
    <w:p>
      <w:pPr>
        <w:pStyle w:val="Normal"/>
        <w:widowControl/>
        <w:jc w:val="both"/>
        <w:rPr>
          <w:sz w:val="24"/>
        </w:rPr>
      </w:pPr>
      <w:r>
        <w:rPr>
          <w:sz w:val="24"/>
        </w:rPr>
      </w:r>
    </w:p>
    <w:p>
      <w:pPr>
        <w:pStyle w:val="Normal"/>
        <w:widowControl/>
        <w:jc w:val="both"/>
        <w:rPr>
          <w:sz w:val="24"/>
        </w:rPr>
      </w:pPr>
      <w:r>
        <w:rPr>
          <w:sz w:val="24"/>
        </w:rPr>
        <w:tab/>
        <w:t>(7)</w:t>
        <w:tab/>
        <w:t>Notice of Prepayment from the Trust to CIBC, with respect to the Amended and Restated Facility Agreement dated May 31, 2000;</w:t>
      </w:r>
    </w:p>
    <w:p>
      <w:pPr>
        <w:pStyle w:val="Normal"/>
        <w:widowControl/>
        <w:jc w:val="both"/>
        <w:rPr>
          <w:sz w:val="24"/>
        </w:rPr>
      </w:pPr>
      <w:r>
        <w:rPr>
          <w:sz w:val="24"/>
        </w:rPr>
      </w:r>
    </w:p>
    <w:p>
      <w:pPr>
        <w:pStyle w:val="Normal"/>
        <w:widowControl/>
        <w:jc w:val="both"/>
        <w:rPr>
          <w:sz w:val="24"/>
        </w:rPr>
      </w:pPr>
      <w:r>
        <w:rPr>
          <w:sz w:val="24"/>
        </w:rPr>
        <w:tab/>
        <w:t>(8)</w:t>
        <w:tab/>
        <w:t>Facility Agreement, dated as of November 17, 2000, by and between the Trust, CIBC, as the Agent, and the other financial institutions party thereto (the “Facility Agreement”) and each of the Notes issued pursuant thereto;</w:t>
      </w:r>
    </w:p>
    <w:p>
      <w:pPr>
        <w:pStyle w:val="Normal"/>
        <w:widowControl/>
        <w:jc w:val="both"/>
        <w:rPr>
          <w:sz w:val="24"/>
        </w:rPr>
      </w:pPr>
      <w:r>
        <w:rPr>
          <w:sz w:val="24"/>
        </w:rPr>
        <w:tab/>
        <w:t>(9)</w:t>
        <w:tab/>
        <w:t>McGarret A Drawdown Request, dated November 17, 2000, requesting a drawdown of $18,023,750 under the Facility Agreement;</w:t>
      </w:r>
    </w:p>
    <w:p>
      <w:pPr>
        <w:pStyle w:val="Normal"/>
        <w:widowControl/>
        <w:jc w:val="both"/>
        <w:rPr>
          <w:sz w:val="24"/>
        </w:rPr>
      </w:pPr>
      <w:r>
        <w:rPr>
          <w:sz w:val="24"/>
        </w:rPr>
      </w:r>
    </w:p>
    <w:p>
      <w:pPr>
        <w:pStyle w:val="Normal"/>
        <w:keepNext w:val="false"/>
        <w:keepLines/>
        <w:widowControl/>
        <w:jc w:val="both"/>
        <w:rPr>
          <w:sz w:val="24"/>
        </w:rPr>
      </w:pPr>
      <w:r>
        <w:rPr>
          <w:sz w:val="24"/>
        </w:rPr>
        <w:tab/>
        <w:t>(10)</w:t>
        <w:tab/>
        <w:t>McGarret A Omnibus Amendment, dated November 17, 2000, executed by the Trust,  Enron Energy Services, L.L.C., McGarret I, L.L.C., Big Island I, L.L.C., Enron Corp. and Canadian Imperial Bank of Commerce;</w:t>
      </w:r>
    </w:p>
    <w:p>
      <w:pPr>
        <w:pStyle w:val="Normal"/>
        <w:keepLines w:val="false"/>
        <w:widowControl/>
        <w:jc w:val="both"/>
        <w:rPr>
          <w:sz w:val="24"/>
        </w:rPr>
      </w:pPr>
      <w:r>
        <w:rPr>
          <w:sz w:val="24"/>
        </w:rPr>
      </w:r>
    </w:p>
    <w:p>
      <w:pPr>
        <w:pStyle w:val="Normal"/>
        <w:widowControl/>
        <w:jc w:val="both"/>
        <w:rPr>
          <w:sz w:val="24"/>
        </w:rPr>
      </w:pPr>
      <w:r>
        <w:rPr>
          <w:sz w:val="24"/>
        </w:rPr>
        <w:tab/>
        <w:t>(11)</w:t>
        <w:tab/>
        <w:t>McGarret C Drawdown Request, dated November 17, 2000, requesting a drawdown of $29,111,495 under the Facility Agreement;</w:t>
      </w:r>
    </w:p>
    <w:p>
      <w:pPr>
        <w:pStyle w:val="Normal"/>
        <w:widowControl/>
        <w:jc w:val="both"/>
        <w:rPr>
          <w:sz w:val="24"/>
        </w:rPr>
      </w:pPr>
      <w:r>
        <w:rPr>
          <w:sz w:val="24"/>
        </w:rPr>
      </w:r>
    </w:p>
    <w:p>
      <w:pPr>
        <w:pStyle w:val="Normal"/>
        <w:widowControl/>
        <w:jc w:val="both"/>
        <w:rPr>
          <w:sz w:val="24"/>
        </w:rPr>
      </w:pPr>
      <w:r>
        <w:rPr>
          <w:sz w:val="24"/>
        </w:rPr>
        <w:tab/>
        <w:t>(12)</w:t>
        <w:tab/>
        <w:t>McGarret C Omnibus Amendment, dated November 17, 2000, executed by the Trust,  Enron Energy Services, L.L.C., McGarret III, L.L.C., Big Island III, L.L.C., Enron Corp. and Canadian Imperial Bank of Commerce;</w:t>
      </w:r>
    </w:p>
    <w:p>
      <w:pPr>
        <w:pStyle w:val="Normal"/>
        <w:widowControl/>
        <w:jc w:val="both"/>
        <w:rPr>
          <w:sz w:val="24"/>
        </w:rPr>
      </w:pPr>
      <w:r>
        <w:rPr>
          <w:sz w:val="24"/>
        </w:rPr>
      </w:r>
    </w:p>
    <w:p>
      <w:pPr>
        <w:pStyle w:val="Normal"/>
        <w:widowControl/>
        <w:jc w:val="both"/>
        <w:rPr>
          <w:sz w:val="24"/>
        </w:rPr>
      </w:pPr>
      <w:r>
        <w:rPr>
          <w:sz w:val="24"/>
        </w:rPr>
        <w:tab/>
        <w:t>(13)</w:t>
        <w:tab/>
        <w:t xml:space="preserve">McGarret D Drawdown Request, dated November 17, 2000, requesting a drawdown of $86,971,504 under the Facility Agreement; </w:t>
      </w:r>
    </w:p>
    <w:p>
      <w:pPr>
        <w:pStyle w:val="Normal"/>
        <w:widowControl/>
        <w:jc w:val="both"/>
        <w:rPr>
          <w:sz w:val="24"/>
        </w:rPr>
      </w:pPr>
      <w:r>
        <w:rPr>
          <w:sz w:val="24"/>
        </w:rPr>
      </w:r>
    </w:p>
    <w:p>
      <w:pPr>
        <w:pStyle w:val="Normal"/>
        <w:widowControl/>
        <w:jc w:val="both"/>
        <w:rPr>
          <w:sz w:val="24"/>
        </w:rPr>
      </w:pPr>
      <w:r>
        <w:rPr>
          <w:sz w:val="24"/>
        </w:rPr>
        <w:tab/>
        <w:t>(14)</w:t>
        <w:tab/>
        <w:t xml:space="preserve">McGarret D Omnibus Amendment, dated November 17, 2000, executed by the Trust,  Enron Energy Services, L.L.C., McGarret II, L.L.C., Big Island II, L.L.C., Enron Corp. and Canadian Imperial Bank of Commerce; </w:t>
      </w:r>
    </w:p>
    <w:p>
      <w:pPr>
        <w:pStyle w:val="Normal"/>
        <w:widowControl/>
        <w:jc w:val="both"/>
        <w:rPr>
          <w:sz w:val="24"/>
        </w:rPr>
      </w:pPr>
      <w:r>
        <w:rPr>
          <w:sz w:val="24"/>
        </w:rPr>
      </w:r>
    </w:p>
    <w:p>
      <w:pPr>
        <w:pStyle w:val="Normal"/>
        <w:widowControl/>
        <w:jc w:val="both"/>
        <w:rPr>
          <w:sz w:val="24"/>
        </w:rPr>
      </w:pPr>
      <w:r>
        <w:rPr>
          <w:sz w:val="24"/>
        </w:rPr>
        <w:tab/>
        <w:t>(15)</w:t>
        <w:tab/>
        <w:t xml:space="preserve">Danno B Drawdown Request, dated November 17, </w:t>
      </w:r>
      <w:bookmarkStart w:id="0" w:name="Redline_2"/>
      <w:bookmarkEnd w:id="0"/>
      <w:r>
        <w:rPr>
          <w:strike/>
          <w:sz w:val="24"/>
        </w:rPr>
        <w:t>executed by the Trust, Enron Energy Services Operations, Inc., Danno II , L.L.C., Marie II, L.L.C., Enron Corp. and Canadian Imperial Bank of Commerce;</w:t>
      </w:r>
      <w:r>
        <w:rPr>
          <w:sz w:val="24"/>
        </w:rPr>
        <w:t xml:space="preserve"> </w:t>
      </w:r>
      <w:bookmarkStart w:id="1" w:name="Redline_1"/>
      <w:bookmarkEnd w:id="1"/>
      <w:r>
        <w:rPr>
          <w:b/>
          <w:color w:val="FF0000"/>
          <w:sz w:val="24"/>
          <w:u w:val="double"/>
        </w:rPr>
        <w:t>2000, requesting a drawdown of $11,085,703 under the Facility Agreements.</w:t>
      </w:r>
    </w:p>
    <w:p>
      <w:pPr>
        <w:pStyle w:val="Normal"/>
        <w:widowControl/>
        <w:jc w:val="both"/>
        <w:rPr>
          <w:sz w:val="24"/>
        </w:rPr>
      </w:pPr>
      <w:r>
        <w:rPr>
          <w:sz w:val="24"/>
        </w:rPr>
      </w:r>
    </w:p>
    <w:p>
      <w:pPr>
        <w:pStyle w:val="Normal"/>
        <w:widowControl/>
        <w:jc w:val="both"/>
        <w:rPr>
          <w:sz w:val="24"/>
        </w:rPr>
      </w:pPr>
      <w:r>
        <w:rPr>
          <w:sz w:val="24"/>
        </w:rPr>
        <w:tab/>
        <w:t>(16)</w:t>
        <w:tab/>
        <w:t>Danno B Omnibus Amendment, dated November 17, 2000, executed by the Trust, Enron Energy Services Operations Inc., Danno II, L.L.C., Maui II, L.L.C., Enron Corp. and Canadian Imperial Bank of Commerce;</w:t>
      </w:r>
    </w:p>
    <w:p>
      <w:pPr>
        <w:pStyle w:val="Normal"/>
        <w:widowControl/>
        <w:jc w:val="both"/>
        <w:rPr>
          <w:sz w:val="24"/>
        </w:rPr>
      </w:pPr>
      <w:r>
        <w:rPr>
          <w:sz w:val="24"/>
        </w:rPr>
      </w:r>
    </w:p>
    <w:p>
      <w:pPr>
        <w:pStyle w:val="Normal"/>
        <w:widowControl/>
        <w:jc w:val="both"/>
        <w:rPr>
          <w:sz w:val="24"/>
        </w:rPr>
      </w:pPr>
      <w:r>
        <w:rPr>
          <w:sz w:val="24"/>
        </w:rPr>
        <w:tab/>
        <w:t>(17)</w:t>
        <w:tab/>
        <w:t>Payment Direction Letter between the Trust, Enron Corp. and CIBC Inc.</w:t>
      </w:r>
    </w:p>
    <w:p>
      <w:pPr>
        <w:pStyle w:val="Normal"/>
        <w:widowControl/>
        <w:jc w:val="both"/>
        <w:rPr>
          <w:sz w:val="24"/>
        </w:rPr>
      </w:pPr>
      <w:r>
        <w:rPr>
          <w:sz w:val="24"/>
        </w:rPr>
      </w:r>
    </w:p>
    <w:p>
      <w:pPr>
        <w:pStyle w:val="Normal"/>
        <w:widowControl/>
        <w:jc w:val="both"/>
        <w:rPr>
          <w:sz w:val="24"/>
        </w:rPr>
      </w:pPr>
      <w:r>
        <w:rPr>
          <w:sz w:val="24"/>
        </w:rPr>
        <w:tab/>
        <w:t>(18)</w:t>
        <w:tab/>
        <w:t>Receipt of Trust dated November 17, 2000, acknowledging receipt of fund advanced under the Facility Agreement on such date.</w:t>
      </w:r>
    </w:p>
    <w:p>
      <w:pPr>
        <w:pStyle w:val="Normal"/>
        <w:widowControl/>
        <w:jc w:val="both"/>
        <w:rPr>
          <w:sz w:val="24"/>
        </w:rPr>
      </w:pPr>
      <w:r>
        <w:rPr>
          <w:sz w:val="24"/>
        </w:rPr>
      </w:r>
    </w:p>
    <w:p>
      <w:pPr>
        <w:pStyle w:val="Normal"/>
        <w:widowControl/>
        <w:jc w:val="both"/>
        <w:rPr>
          <w:sz w:val="24"/>
        </w:rPr>
      </w:pPr>
      <w:r>
        <w:rPr>
          <w:sz w:val="24"/>
        </w:rPr>
        <w:tab/>
        <w:t>Capitalized terms used and not defined herein have the meanings set forth in the Trust Agreement.</w:t>
      </w:r>
    </w:p>
    <w:p>
      <w:pPr>
        <w:pStyle w:val="Normal"/>
        <w:widowControl/>
        <w:jc w:val="both"/>
        <w:rPr>
          <w:sz w:val="24"/>
        </w:rPr>
      </w:pPr>
      <w:r>
        <w:rPr>
          <w:sz w:val="24"/>
        </w:rPr>
      </w:r>
    </w:p>
    <w:p>
      <w:pPr>
        <w:pStyle w:val="Normal"/>
        <w:widowControl/>
        <w:jc w:val="both"/>
        <w:rPr>
          <w:sz w:val="24"/>
        </w:rPr>
      </w:pPr>
      <w:r>
        <w:rPr>
          <w:sz w:val="24"/>
        </w:rPr>
      </w:r>
    </w:p>
    <w:p>
      <w:pPr>
        <w:pStyle w:val="Normal"/>
        <w:widowControl/>
        <w:tabs>
          <w:tab w:val="clear" w:pos="720"/>
          <w:tab w:val="center" w:pos="4680" w:leader="none"/>
        </w:tabs>
        <w:jc w:val="both"/>
        <w:rPr>
          <w:sz w:val="24"/>
        </w:rPr>
      </w:pPr>
      <w:r>
        <w:rPr>
          <w:sz w:val="24"/>
        </w:rPr>
        <w:tab/>
        <w:t>[Remainder of Page Intentionally Left Blank]</w:t>
      </w:r>
      <w:r>
        <w:br w:type="page"/>
      </w:r>
    </w:p>
    <w:p>
      <w:pPr>
        <w:pStyle w:val="Normal"/>
        <w:widowControl/>
        <w:rPr>
          <w:sz w:val="24"/>
        </w:rPr>
      </w:pPr>
      <w:r>
        <w:rPr>
          <w:sz w:val="24"/>
        </w:rPr>
      </w:r>
    </w:p>
    <w:p>
      <w:pPr>
        <w:sectPr>
          <w:headerReference w:type="even" r:id="rId2"/>
          <w:headerReference w:type="default" r:id="rId3"/>
          <w:footerReference w:type="even" r:id="rId4"/>
          <w:footerReference w:type="default" r:id="rId5"/>
          <w:type w:val="nextPage"/>
          <w:pgSz w:w="12240" w:h="15840"/>
          <w:pgMar w:left="1440" w:right="1440" w:gutter="0" w:header="1440" w:top="1496" w:footer="864" w:bottom="1344"/>
          <w:pgNumType w:fmt="decimal"/>
          <w:formProt w:val="false"/>
          <w:textDirection w:val="lrTb"/>
          <w:docGrid w:type="default" w:linePitch="360" w:charSpace="0"/>
        </w:sectPr>
      </w:pPr>
    </w:p>
    <w:p>
      <w:pPr>
        <w:pStyle w:val="Normal"/>
        <w:widowControl/>
        <w:rPr>
          <w:sz w:val="24"/>
        </w:rPr>
      </w:pPr>
      <w:r>
        <w:rPr>
          <w:sz w:val="24"/>
        </w:rPr>
        <w:tab/>
        <w:tab/>
        <w:tab/>
        <w:tab/>
        <w:tab/>
        <w:tab/>
        <w:t>Very truly yours,</w:t>
      </w:r>
    </w:p>
    <w:p>
      <w:pPr>
        <w:pStyle w:val="Normal"/>
        <w:widowControl/>
        <w:rPr>
          <w:sz w:val="24"/>
        </w:rPr>
      </w:pPr>
      <w:r>
        <w:rPr>
          <w:sz w:val="24"/>
        </w:rPr>
      </w:r>
    </w:p>
    <w:p>
      <w:pPr>
        <w:pStyle w:val="Normal"/>
        <w:widowControl/>
        <w:rPr>
          <w:sz w:val="24"/>
        </w:rPr>
      </w:pPr>
      <w:r>
        <w:rPr>
          <w:sz w:val="24"/>
        </w:rPr>
        <w:tab/>
        <w:tab/>
        <w:tab/>
        <w:tab/>
        <w:tab/>
        <w:tab/>
      </w:r>
      <w:r>
        <w:rPr>
          <w:b/>
          <w:sz w:val="24"/>
        </w:rPr>
        <w:t>CIBC INC.</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tabs>
          <w:tab w:val="clear" w:pos="720"/>
          <w:tab w:val="right" w:pos="9360" w:leader="none"/>
        </w:tabs>
        <w:rPr>
          <w:sz w:val="24"/>
        </w:rPr>
      </w:pPr>
      <w:r>
        <w:rPr>
          <w:sz w:val="24"/>
        </w:rPr>
        <w:tab/>
        <w:tab/>
        <w:tab/>
        <w:tab/>
        <w:tab/>
        <w:tab/>
        <w:t>By:</w:t>
      </w:r>
      <w:r>
        <w:rPr>
          <w:sz w:val="24"/>
          <w:u w:val="single"/>
        </w:rPr>
        <w:tab/>
      </w:r>
    </w:p>
    <w:p>
      <w:pPr>
        <w:pStyle w:val="Normal"/>
        <w:widowControl/>
        <w:tabs>
          <w:tab w:val="clear" w:pos="720"/>
          <w:tab w:val="right" w:pos="9360" w:leader="none"/>
        </w:tabs>
        <w:rPr>
          <w:sz w:val="24"/>
        </w:rPr>
      </w:pPr>
      <w:r>
        <w:rPr>
          <w:sz w:val="24"/>
        </w:rPr>
        <w:tab/>
        <w:tab/>
        <w:tab/>
        <w:tab/>
        <w:tab/>
        <w:tab/>
        <w:t>Name:</w:t>
      </w:r>
      <w:r>
        <w:rPr>
          <w:sz w:val="24"/>
          <w:u w:val="single"/>
        </w:rPr>
        <w:tab/>
      </w:r>
    </w:p>
    <w:p>
      <w:pPr>
        <w:pStyle w:val="Normal"/>
        <w:widowControl/>
        <w:tabs>
          <w:tab w:val="clear" w:pos="720"/>
          <w:tab w:val="right" w:pos="9360" w:leader="none"/>
        </w:tabs>
        <w:rPr>
          <w:sz w:val="24"/>
        </w:rPr>
      </w:pPr>
      <w:r>
        <w:rPr>
          <w:sz w:val="24"/>
        </w:rPr>
        <w:tab/>
        <w:tab/>
        <w:tab/>
        <w:tab/>
        <w:tab/>
        <w:tab/>
        <w:t>Title:</w:t>
      </w:r>
      <w:r>
        <w:rPr>
          <w:sz w:val="24"/>
          <w:u w:val="single"/>
        </w:rPr>
        <w:tab/>
      </w:r>
    </w:p>
    <w:p>
      <w:pPr>
        <w:sectPr>
          <w:type w:val="continuous"/>
          <w:pgSz w:w="12240" w:h="15840"/>
          <w:pgMar w:left="1440" w:right="1440" w:gutter="0" w:header="1440" w:top="1496" w:footer="864" w:bottom="1344"/>
          <w:formProt w:val="false"/>
          <w:textDirection w:val="lrTb"/>
          <w:docGrid w:type="default" w:linePitch="360" w:charSpace="0"/>
        </w:sectPr>
        <w:pStyle w:val="Normal"/>
        <w:widowControl/>
        <w:rPr>
          <w:sz w:val="24"/>
        </w:rPr>
      </w:pPr>
      <w:r>
        <w:rPr>
          <w:sz w:val="24"/>
        </w:rPr>
      </w:r>
      <w:r>
        <w:br w:type="page"/>
      </w:r>
    </w:p>
    <w:p>
      <w:pPr>
        <w:pStyle w:val="Normal"/>
        <w:widowControl/>
        <w:rPr>
          <w:sz w:val="24"/>
        </w:rPr>
      </w:pPr>
      <w:r>
        <w:rPr>
          <w:sz w:val="24"/>
        </w:rPr>
      </w:r>
    </w:p>
    <w:p>
      <w:pPr>
        <w:sectPr>
          <w:headerReference w:type="even" r:id="rId6"/>
          <w:headerReference w:type="default" r:id="rId7"/>
          <w:footerReference w:type="even" r:id="rId8"/>
          <w:footerReference w:type="default" r:id="rId9"/>
          <w:type w:val="nextPage"/>
          <w:pgSz w:w="12240" w:h="15840"/>
          <w:pgMar w:left="1440" w:right="1440" w:gutter="0" w:header="1440" w:top="1496" w:footer="864" w:bottom="1284"/>
          <w:pgNumType w:fmt="decimal"/>
          <w:formProt w:val="false"/>
          <w:textDirection w:val="lrTb"/>
          <w:docGrid w:type="default" w:linePitch="360" w:charSpace="0"/>
        </w:sectPr>
      </w:pPr>
    </w:p>
    <w:p>
      <w:pPr>
        <w:pStyle w:val="Normal"/>
        <w:widowControl/>
        <w:rPr>
          <w:sz w:val="24"/>
        </w:rPr>
      </w:pPr>
      <w:r>
        <w:rPr>
          <w:sz w:val="24"/>
        </w:rPr>
        <w:t xml:space="preserve">This redlined draft, generated by CompareRite (TM) - The Instant Redliner, shows the differences between - </w:t>
      </w:r>
    </w:p>
    <w:p>
      <w:pPr>
        <w:pStyle w:val="Normal"/>
        <w:widowControl/>
        <w:rPr>
          <w:sz w:val="24"/>
        </w:rPr>
      </w:pPr>
      <w:r>
        <w:rPr>
          <w:sz w:val="24"/>
        </w:rPr>
        <w:t>original document   : C:\DOCUME~1\KRECC\LOCALS~1\TEMP\DAL_269030_1</w:t>
      </w:r>
    </w:p>
    <w:p>
      <w:pPr>
        <w:pStyle w:val="Normal"/>
        <w:widowControl/>
        <w:rPr>
          <w:sz w:val="24"/>
        </w:rPr>
      </w:pPr>
      <w:r>
        <w:rPr>
          <w:sz w:val="24"/>
        </w:rPr>
        <w:t>and revised document: C:\DOCUME~1\KRECC\LOCALS~1\TEMP\DAL_269030_2</w:t>
      </w:r>
    </w:p>
    <w:p>
      <w:pPr>
        <w:pStyle w:val="Normal"/>
        <w:widowControl/>
        <w:rPr>
          <w:sz w:val="24"/>
        </w:rPr>
      </w:pPr>
      <w:r>
        <w:rPr>
          <w:sz w:val="24"/>
        </w:rPr>
      </w:r>
    </w:p>
    <w:p>
      <w:pPr>
        <w:pStyle w:val="Normal"/>
        <w:widowControl/>
        <w:rPr>
          <w:sz w:val="24"/>
        </w:rPr>
      </w:pPr>
      <w:r>
        <w:rPr>
          <w:sz w:val="24"/>
        </w:rPr>
        <w:t>CompareRite found    1 change(s) in the text</w:t>
      </w:r>
    </w:p>
    <w:p>
      <w:pPr>
        <w:pStyle w:val="Normal"/>
        <w:widowControl/>
        <w:rPr>
          <w:sz w:val="24"/>
        </w:rPr>
      </w:pPr>
      <w:r>
        <w:rPr>
          <w:sz w:val="24"/>
        </w:rPr>
      </w:r>
    </w:p>
    <w:p>
      <w:pPr>
        <w:pStyle w:val="Normal"/>
        <w:widowControl/>
        <w:rPr>
          <w:sz w:val="24"/>
        </w:rPr>
      </w:pPr>
      <w:r>
        <w:rPr>
          <w:sz w:val="24"/>
        </w:rPr>
        <w:t xml:space="preserve">Deletions appear as Strikethrough text </w:t>
      </w:r>
    </w:p>
    <w:p>
      <w:pPr>
        <w:pStyle w:val="Normal"/>
        <w:widowControl/>
        <w:spacing w:lineRule="atLeast" w:line="0" w:before="0" w:after="0"/>
        <w:rPr>
          <w:sz w:val="24"/>
        </w:rPr>
      </w:pPr>
      <w:r>
        <w:rPr>
          <w:sz w:val="24"/>
        </w:rPr>
        <w:t xml:space="preserve">Additions appear as Bold+Dbl Underline text </w:t>
      </w:r>
    </w:p>
    <w:sectPr>
      <w:type w:val="continuous"/>
      <w:pgSz w:w="12240" w:h="15840"/>
      <w:pgMar w:left="1440" w:right="1440" w:gutter="0" w:header="1440" w:top="1496" w:footer="864" w:bottom="128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rPr>
    </w:pPr>
    <w:r>
      <w:rPr>
        <w:sz w:val="14"/>
      </w:rPr>
      <w:t>DAL:269030.2</w:t>
    </w:r>
  </w:p>
  <w:p>
    <w:pPr>
      <w:pStyle w:val="Normal"/>
      <w:widowControl/>
      <w:jc w:val="both"/>
      <w:rPr/>
    </w:pPr>
    <w:r>
      <w:rPr/>
    </w:r>
    <w:r>
      <mc:AlternateContent>
        <mc:Choice Requires="wps">
          <w:drawing>
            <wp:anchor behindDoc="0" distT="0" distB="0" distL="0" distR="0" simplePos="0" locked="0" layoutInCell="0" allowOverlap="1" relativeHeight="4">
              <wp:simplePos x="0" y="0"/>
              <wp:positionH relativeFrom="column">
                <wp:align>left</wp:align>
              </wp:positionH>
              <wp:positionV relativeFrom="page">
                <wp:posOffset>9509760</wp:posOffset>
              </wp:positionV>
              <wp:extent cx="5943600" cy="177800"/>
              <wp:effectExtent l="0" t="0" r="0" b="0"/>
              <wp:wrapTopAndBottom/>
              <wp:docPr id="1" name="Frame2"/>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2</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48.8pt;mso-position-vertical-relative:page;margin-left:0pt;mso-position-horizontal:left;mso-position-horizontal-relative:text">
              <v:fill opacity="0f"/>
              <v:textbox inset="0in,0in,0in,0in">
                <w:txbxContent>
                  <w:p>
                    <w:pPr>
                      <w:pStyle w:val="Normal"/>
                      <w:widowControl/>
                      <w:shd w:fill="auto" w:val="clear"/>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2</w:t>
                    </w:r>
                    <w:r>
                      <w:rPr>
                        <w:sz w:val="24"/>
                      </w:rPr>
                      <w:fldChar w:fldCharType="end"/>
                    </w:r>
                    <w:r>
                      <w:rPr>
                        <w:sz w:val="24"/>
                      </w:rPr>
                      <w:t>-</w:t>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rPr>
    </w:pPr>
    <w:r>
      <w:rPr>
        <w:sz w:val="14"/>
      </w:rPr>
      <w:t>DAL:269030.2</w:t>
    </w:r>
  </w:p>
  <w:p>
    <w:pPr>
      <w:pStyle w:val="Normal"/>
      <w:widowControl/>
      <w:jc w:val="both"/>
      <w:rPr/>
    </w:pPr>
    <w:r>
      <w:rPr/>
    </w:r>
    <w:r>
      <mc:AlternateContent>
        <mc:Choice Requires="wps">
          <w:drawing>
            <wp:anchor behindDoc="0" distT="0" distB="0" distL="0" distR="0" simplePos="0" locked="0" layoutInCell="0" allowOverlap="1" relativeHeight="3">
              <wp:simplePos x="0" y="0"/>
              <wp:positionH relativeFrom="column">
                <wp:align>left</wp:align>
              </wp:positionH>
              <wp:positionV relativeFrom="page">
                <wp:posOffset>9509760</wp:posOffset>
              </wp:positionV>
              <wp:extent cx="5943600" cy="177800"/>
              <wp:effectExtent l="0" t="0" r="0" b="0"/>
              <wp:wrapTopAndBottom/>
              <wp:docPr id="2" name="Frame1"/>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3</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48.8pt;mso-position-vertical-relative:page;margin-left:0pt;mso-position-horizontal:left;mso-position-horizontal-relative:text">
              <v:fill opacity="0f"/>
              <v:textbox inset="0in,0in,0in,0in">
                <w:txbxContent>
                  <w:p>
                    <w:pPr>
                      <w:pStyle w:val="Normal"/>
                      <w:widowControl/>
                      <w:shd w:fill="auto" w:val="clear"/>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3</w:t>
                    </w:r>
                    <w:r>
                      <w:rPr>
                        <w:sz w:val="24"/>
                      </w:rPr>
                      <w:fldChar w:fldCharType="end"/>
                    </w:r>
                    <w:r>
                      <w:rPr>
                        <w:sz w:val="24"/>
                      </w:rPr>
                      <w:t>-</w:t>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p>
    <w:pPr>
      <w:pStyle w:val="Normal"/>
      <w:widowControl/>
      <w:spacing w:lineRule="atLeast" w:line="0" w:before="0" w:after="0"/>
      <w:rPr/>
    </w:pPr>
    <w:r>
      <w:rPr/>
    </w:r>
  </w:p>
  <w:p>
    <w:pPr>
      <w:pStyle w:val="Normal"/>
      <w:widowContro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p>
    <w:pPr>
      <w:pStyle w:val="Normal"/>
      <w:widowControl/>
      <w:spacing w:lineRule="atLeast" w:line="0" w:before="0" w:after="0"/>
      <w:rPr/>
    </w:pPr>
    <w:r>
      <w:rPr/>
    </w:r>
  </w:p>
  <w:p>
    <w:pPr>
      <w:pStyle w:val="Normal"/>
      <w:widowControl/>
      <w:rPr/>
    </w:pPr>
    <w:r>
      <w:rPr/>
    </w:r>
  </w:p>
</w:hdr>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