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sz w:val="24"/>
        </w:rPr>
      </w:pPr>
      <w:r>
        <w:rPr>
          <w:sz w:val="24"/>
        </w:rPr>
      </w:r>
      <w:r>
        <w:rPr>
          <w:sz w:val="24"/>
        </w:rPr>
        <w:t xml:space="preserve"> </w:t>
      </w:r>
      <w:r>
        <w:rPr>
          <w:sz w:val="24"/>
        </w:rPr>
        <w:tab/>
      </w:r>
      <w:r>
        <w:rPr>
          <w:b/>
          <w:sz w:val="24"/>
        </w:rPr>
        <w:t>DRAWDOWN REQUEST</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To:</w:t>
        <w:tab/>
        <w:t>CANADIAN IMPERIAL BANK OF COMMERCE</w:t>
      </w:r>
    </w:p>
    <w:p>
      <w:pPr>
        <w:pStyle w:val="Normal"/>
        <w:widowControl/>
        <w:rPr>
          <w:sz w:val="24"/>
        </w:rPr>
      </w:pPr>
      <w:r>
        <w:rPr>
          <w:sz w:val="24"/>
        </w:rPr>
      </w:r>
    </w:p>
    <w:p>
      <w:pPr>
        <w:pStyle w:val="Normal"/>
        <w:widowControl/>
        <w:rPr>
          <w:sz w:val="24"/>
          <w:u w:val="single"/>
        </w:rPr>
      </w:pPr>
      <w:r>
        <w:rPr>
          <w:sz w:val="24"/>
          <w:u w:val="single"/>
        </w:rPr>
        <w:t>Facility Agreement, dated as of November 17, 2000</w:t>
      </w:r>
    </w:p>
    <w:p>
      <w:pPr>
        <w:pStyle w:val="Normal"/>
        <w:widowControl/>
        <w:rPr>
          <w:sz w:val="24"/>
          <w:u w:val="single"/>
        </w:rPr>
      </w:pPr>
      <w:r>
        <w:rPr>
          <w:sz w:val="24"/>
          <w:u w:val="single"/>
        </w:rPr>
      </w:r>
    </w:p>
    <w:p>
      <w:pPr>
        <w:pStyle w:val="Normal"/>
        <w:widowControl/>
        <w:rPr/>
      </w:pPr>
      <w:r>
        <w:rPr>
          <w:sz w:val="24"/>
        </w:rPr>
        <w:tab/>
        <w:t xml:space="preserve">We refer to the above agreement between, </w:t>
      </w:r>
      <w:r>
        <w:rPr>
          <w:i/>
          <w:sz w:val="24"/>
        </w:rPr>
        <w:t>inter alia</w:t>
      </w:r>
      <w:r>
        <w:rPr>
          <w:sz w:val="24"/>
        </w:rPr>
        <w:t>, ourselves, yourselves, as Agent, and the other financial institutions party thereto and CIBC World Markets Corp. as Arranger (the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widowControl/>
        <w:rPr>
          <w:sz w:val="24"/>
        </w:rPr>
      </w:pPr>
      <w:r>
        <w:rPr>
          <w:sz w:val="24"/>
        </w:rPr>
      </w:r>
    </w:p>
    <w:p>
      <w:pPr>
        <w:pStyle w:val="Normal"/>
        <w:widowControl/>
        <w:rPr>
          <w:sz w:val="24"/>
        </w:rPr>
      </w:pPr>
      <w:r>
        <w:rPr>
          <w:sz w:val="24"/>
        </w:rPr>
        <w:tab/>
        <w:t>Pursuant to Section 5.2 of the Facility Agreement, we hereby give you notice of the following proposed drawing of a Tranche:</w:t>
      </w:r>
    </w:p>
    <w:p>
      <w:pPr>
        <w:pStyle w:val="Normal"/>
        <w:widowControl/>
        <w:rPr>
          <w:sz w:val="24"/>
        </w:rPr>
      </w:pPr>
      <w:r>
        <w:rPr>
          <w:sz w:val="24"/>
        </w:rPr>
      </w:r>
    </w:p>
    <w:p>
      <w:pPr>
        <w:pStyle w:val="Normal"/>
        <w:widowControl/>
        <w:ind w:hanging="5760" w:start="5760" w:end="0"/>
        <w:rPr>
          <w:sz w:val="24"/>
        </w:rPr>
      </w:pPr>
      <w:r>
        <w:rPr>
          <w:sz w:val="24"/>
        </w:rPr>
        <w:tab/>
        <w:t>(a)</w:t>
        <w:tab/>
        <w:t>Name of Series:</w:t>
        <w:tab/>
        <w:tab/>
        <w:tab/>
        <w:tab/>
        <w:tab/>
        <w:t>McGarret D</w:t>
      </w:r>
    </w:p>
    <w:p>
      <w:pPr>
        <w:pStyle w:val="Normal"/>
        <w:widowControl/>
        <w:rPr>
          <w:sz w:val="24"/>
        </w:rPr>
      </w:pPr>
      <w:r>
        <w:rPr>
          <w:sz w:val="24"/>
        </w:rPr>
      </w:r>
    </w:p>
    <w:p>
      <w:pPr>
        <w:pStyle w:val="Normal"/>
        <w:widowControl/>
        <w:ind w:hanging="5760" w:start="5760" w:end="0"/>
        <w:rPr>
          <w:sz w:val="24"/>
        </w:rPr>
      </w:pPr>
      <w:r>
        <w:rPr>
          <w:sz w:val="24"/>
        </w:rPr>
        <w:tab/>
        <w:t>(b)</w:t>
        <w:tab/>
        <w:t>Name of Asset LLC:</w:t>
        <w:tab/>
        <w:tab/>
        <w:tab/>
        <w:tab/>
        <w:tab/>
        <w:t>McGarret II, L.L.C.</w:t>
      </w:r>
    </w:p>
    <w:p>
      <w:pPr>
        <w:pStyle w:val="Normal"/>
        <w:widowControl/>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5760" w:start="5760" w:end="0"/>
        <w:rPr>
          <w:sz w:val="24"/>
        </w:rPr>
      </w:pPr>
      <w:r>
        <w:rPr>
          <w:sz w:val="24"/>
        </w:rPr>
        <w:tab/>
        <w:t>(c)</w:t>
        <w:tab/>
        <w:t>Name of Sponsor:</w:t>
        <w:tab/>
        <w:tab/>
        <w:tab/>
        <w:tab/>
        <w:tab/>
        <w:t>Enron Energy Services,</w:t>
      </w:r>
      <w:r>
        <w:rPr>
          <w:b/>
          <w:color w:val="FF0000"/>
          <w:sz w:val="24"/>
          <w:u w:val="double"/>
        </w:rPr>
        <w:t xml:space="preserve"> LLC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8640" w:end="0"/>
        <w:rPr>
          <w:sz w:val="24"/>
        </w:rPr>
      </w:pPr>
      <w:r>
        <w:rPr>
          <w:sz w:val="24"/>
        </w:rPr>
        <w:tab/>
        <w:tab/>
        <w:tab/>
        <w:tab/>
        <w:tab/>
        <w:tab/>
        <w:tab/>
        <w:tab/>
        <w:tab/>
        <w:tab/>
        <w:t xml:space="preserve">  </w:t>
      </w:r>
      <w:r>
        <w:rPr>
          <w:strike/>
          <w:color w:val="FF0000"/>
          <w:sz w:val="24"/>
        </w:rPr>
        <w:t xml:space="preserve">Operations, Inc.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(d)</w:t>
        <w:tab/>
        <w:t>Initial Certificate Balance of Series Certificate:</w:t>
        <w:tab/>
        <w:t>$ 3,954,146</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6480" w:start="6480" w:end="0"/>
        <w:rPr>
          <w:sz w:val="24"/>
        </w:rPr>
      </w:pPr>
      <w:r>
        <w:rPr>
          <w:sz w:val="24"/>
        </w:rPr>
        <w:tab/>
        <w:t>(e)</w:t>
        <w:tab/>
        <w:t>Name of Transferor and Type of Entity:</w:t>
        <w:tab/>
        <w:tab/>
      </w:r>
      <w:r>
        <w:rPr>
          <w:strike/>
          <w:color w:val="FF0000"/>
          <w:sz w:val="24"/>
        </w:rPr>
        <w:t>Hawaii 125-0, a Delaware business trust</w:t>
      </w:r>
      <w:r>
        <w:rPr>
          <w:sz w:val="24"/>
        </w:rPr>
        <w:t xml:space="preserve"> </w:t>
      </w:r>
      <w:r>
        <w:rPr>
          <w:b/>
          <w:color w:val="FF0000"/>
          <w:sz w:val="24"/>
          <w:u w:val="double"/>
        </w:rPr>
        <w:t>Big Island II,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(f)</w:t>
        <w:tab/>
        <w:t>Type of Underlying Asset (specify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rPr>
          <w:sz w:val="24"/>
        </w:rPr>
      </w:pPr>
      <w:r>
        <w:rPr>
          <w:sz w:val="24"/>
        </w:rPr>
        <w:tab/>
        <w:t>Danno, McGarret or Governor):</w:t>
        <w:tab/>
        <w:tab/>
        <w:tab/>
        <w:t>McGarret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(g)</w:t>
        <w:tab/>
        <w:t>Proposed Drawdown Date (a Business Day):</w:t>
        <w:tab/>
        <w:t>November 17, 2000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(h)</w:t>
        <w:tab/>
        <w:t>Amount of Tranche:</w:t>
        <w:tab/>
        <w:tab/>
        <w:tab/>
        <w:tab/>
        <w:tab/>
        <w:t>$ 86,971,504</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(i)</w:t>
        <w:tab/>
        <w:t>Type of Advances:</w:t>
        <w:tab/>
        <w:tab/>
        <w:tab/>
        <w:tab/>
        <w:tab/>
        <w:t>LIBOR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(j)</w:t>
        <w:tab/>
        <w:t>Interest Period (if LIBOR advance):</w:t>
        <w:tab/>
        <w:tab/>
        <w:tab/>
        <w:t>30 days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rPr>
          <w:b/>
          <w:sz w:val="24"/>
        </w:rPr>
      </w:pPr>
      <w:r>
        <w:rPr>
          <w:sz w:val="24"/>
        </w:rPr>
        <w:tab/>
        <w:t>(k)</w:t>
        <w:tab/>
        <w:t>Repayment Date:</w:t>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keepNext w:val="fals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2160" w:end="0"/>
        <w:rPr/>
      </w:pPr>
      <w:r>
        <w:rPr>
          <w:b/>
          <w:sz w:val="24"/>
        </w:rPr>
        <w:tab/>
      </w:r>
      <w:r>
        <w:rPr>
          <w:sz w:val="24"/>
        </w:rPr>
        <w:t>(1)</w:t>
        <w:tab/>
        <w:t xml:space="preserve">in the event that the Trust, acting at the direction of the Lenders pursuant to Section 24.1 of the Facility Agreement and Section 6.01(a)(ix) of the Trust Agreement, exercises a Put Option by delivering a Principal Put Notice with respect to the Interest Payment Date falling on </w:t>
      </w:r>
      <w:r>
        <w:rPr>
          <w:strike/>
          <w:color w:val="FF0000"/>
          <w:sz w:val="24"/>
        </w:rPr>
        <w:t>March</w:t>
      </w:r>
      <w:r>
        <w:rPr>
          <w:sz w:val="24"/>
        </w:rPr>
        <w:t xml:space="preserve"> </w:t>
      </w:r>
      <w:r>
        <w:rPr>
          <w:b/>
          <w:color w:val="FF0000"/>
          <w:sz w:val="24"/>
          <w:u w:val="double"/>
        </w:rPr>
        <w:t>November</w:t>
      </w:r>
      <w:r>
        <w:rPr>
          <w:sz w:val="24"/>
        </w:rPr>
        <w:t xml:space="preserve"> 15, </w:t>
      </w:r>
      <w:r>
        <w:rPr>
          <w:strike/>
          <w:color w:val="FF0000"/>
          <w:sz w:val="24"/>
        </w:rPr>
        <w:t>2001</w:t>
      </w:r>
      <w:r>
        <w:rPr>
          <w:sz w:val="24"/>
        </w:rPr>
        <w:t xml:space="preserve"> </w:t>
      </w:r>
      <w:r>
        <w:rPr>
          <w:b/>
          <w:color w:val="FF0000"/>
          <w:sz w:val="24"/>
          <w:u w:val="double"/>
        </w:rPr>
        <w:t>2002</w:t>
      </w:r>
      <w:r>
        <w:rPr>
          <w:sz w:val="24"/>
        </w:rPr>
        <w:t xml:space="preserve">, in accordance with Section 2 of the Put Option Agreement, the Repayment Date shall be </w:t>
      </w:r>
      <w:r>
        <w:rPr>
          <w:strike/>
          <w:color w:val="FF0000"/>
          <w:sz w:val="24"/>
        </w:rPr>
        <w:t>May</w:t>
      </w:r>
      <w:r>
        <w:rPr>
          <w:sz w:val="24"/>
        </w:rPr>
        <w:t xml:space="preserve"> </w:t>
      </w:r>
      <w:r>
        <w:rPr>
          <w:b/>
          <w:color w:val="FF0000"/>
          <w:sz w:val="24"/>
          <w:u w:val="double"/>
        </w:rPr>
        <w:t>January</w:t>
      </w:r>
      <w:r>
        <w:rPr>
          <w:sz w:val="24"/>
        </w:rPr>
        <w:t xml:space="preserve"> 15, </w:t>
      </w:r>
      <w:r>
        <w:rPr>
          <w:strike/>
          <w:color w:val="FF0000"/>
          <w:sz w:val="24"/>
        </w:rPr>
        <w:t>2001</w:t>
      </w:r>
      <w:r>
        <w:rPr>
          <w:sz w:val="24"/>
        </w:rPr>
        <w:t xml:space="preserve"> </w:t>
      </w:r>
      <w:r>
        <w:rPr>
          <w:b/>
          <w:color w:val="FF0000"/>
          <w:sz w:val="24"/>
          <w:u w:val="double"/>
        </w:rPr>
        <w:t>2003</w:t>
      </w:r>
      <w:r>
        <w:rPr>
          <w:sz w:val="24"/>
        </w:rPr>
        <w:t xml:space="preserve"> or</w:t>
      </w:r>
    </w:p>
    <w:p>
      <w:pPr>
        <w:pStyle w:val="Normal"/>
        <w:keepLines w:val="false"/>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2160" w:end="0"/>
        <w:rPr/>
      </w:pPr>
      <w:r>
        <w:rPr>
          <w:sz w:val="24"/>
        </w:rPr>
        <w:tab/>
        <w:t>(2)</w:t>
        <w:tab/>
        <w:t xml:space="preserve">in the event that the Principal Put Option is not so exercised, the Repayment Date shall be November </w:t>
      </w:r>
      <w:r>
        <w:rPr>
          <w:strike/>
          <w:color w:val="FF0000"/>
          <w:sz w:val="24"/>
        </w:rPr>
        <w:t>16</w:t>
      </w:r>
      <w:r>
        <w:rPr>
          <w:sz w:val="24"/>
        </w:rPr>
        <w:t xml:space="preserve"> </w:t>
      </w:r>
      <w:r>
        <w:rPr>
          <w:b/>
          <w:color w:val="FF0000"/>
          <w:sz w:val="24"/>
          <w:u w:val="double"/>
        </w:rPr>
        <w:t>15</w:t>
      </w:r>
      <w:r>
        <w:rPr>
          <w:sz w:val="24"/>
        </w:rPr>
        <w:t>, 2002.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(l)</w:t>
        <w:tab/>
        <w:t>Payment instructions:</w:t>
        <w:tab/>
        <w:tab/>
        <w:tab/>
        <w:tab/>
        <w:tab/>
        <w:t>Enron Corp. to notify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(m)</w:t>
        <w:tab/>
        <w:t>Swap Provider:</w:t>
        <w:tab/>
        <w:tab/>
        <w:tab/>
        <w:tab/>
        <w:tab/>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 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Dated: November 17, 2000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680" w:leader="none"/>
        </w:tabs>
        <w:rPr>
          <w:sz w:val="24"/>
        </w:rPr>
      </w:pPr>
      <w:r>
        <w:rPr>
          <w:sz w:val="24"/>
        </w:rPr>
        <w:tab/>
      </w:r>
      <w:r>
        <w:rPr>
          <w:b/>
          <w:sz w:val="24"/>
        </w:rPr>
        <w:t>[Signature Page Follows]</w:t>
      </w:r>
      <w:r>
        <w:br w:type="page"/>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0"/>
        <w:rPr>
          <w:sz w:val="24"/>
        </w:rPr>
      </w:pPr>
      <w:r>
        <w:rPr>
          <w:b/>
          <w:sz w:val="24"/>
        </w:rPr>
        <w:t>HAWAII II 125-0 TRUST</w:t>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By:</w:t>
        <w:tab/>
        <w:t xml:space="preserve">Wilmington Trust Company, </w:t>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40" w:end="0"/>
        <w:rPr>
          <w:sz w:val="24"/>
        </w:rPr>
      </w:pPr>
      <w:r>
        <w:rPr>
          <w:sz w:val="24"/>
        </w:rPr>
        <w:t xml:space="preserve">not in its individual capacity, </w:t>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40" w:end="0"/>
        <w:rPr>
          <w:sz w:val="24"/>
        </w:rPr>
      </w:pPr>
      <w:r>
        <w:rPr>
          <w:sz w:val="24"/>
        </w:rPr>
        <w:t>but solely as Owner Trustee</w:t>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clear" w:pos="720"/>
          <w:tab w:val="right" w:pos="5040" w:leader="none"/>
        </w:tabs>
        <w:rPr>
          <w:sz w:val="24"/>
        </w:rPr>
      </w:pPr>
      <w:r>
        <w:rPr>
          <w:sz w:val="24"/>
        </w:rPr>
        <w:tab/>
        <w:t>By:</w:t>
      </w:r>
      <w:r>
        <w:rPr>
          <w:sz w:val="24"/>
          <w:u w:val="single"/>
        </w:rPr>
        <w:tab/>
      </w:r>
    </w:p>
    <w:p>
      <w:pPr>
        <w:pStyle w:val="Normal"/>
        <w:keepNext w:val="true"/>
        <w:keepLines/>
        <w:widowControl/>
        <w:tabs>
          <w:tab w:val="clear" w:pos="720"/>
          <w:tab w:val="right" w:pos="5040" w:leader="none"/>
        </w:tabs>
        <w:rPr>
          <w:sz w:val="24"/>
        </w:rPr>
      </w:pPr>
      <w:r>
        <w:rPr>
          <w:sz w:val="24"/>
        </w:rPr>
        <w:tab/>
        <w:t>Name:</w:t>
      </w:r>
      <w:r>
        <w:rPr>
          <w:sz w:val="24"/>
          <w:u w:val="single"/>
        </w:rPr>
        <w:tab/>
      </w:r>
    </w:p>
    <w:p>
      <w:pPr>
        <w:pStyle w:val="Normal"/>
        <w:keepNext w:val="true"/>
        <w:keepLines/>
        <w:widowControl/>
        <w:tabs>
          <w:tab w:val="clear" w:pos="720"/>
          <w:tab w:val="right" w:pos="5040" w:leader="none"/>
        </w:tabs>
        <w:rPr>
          <w:sz w:val="24"/>
        </w:rPr>
      </w:pPr>
      <w:r>
        <w:rPr>
          <w:sz w:val="24"/>
        </w:rPr>
        <w:tab/>
        <w:t>Title:</w:t>
      </w:r>
      <w:r>
        <w:rPr>
          <w:sz w:val="24"/>
          <w:u w:val="single"/>
        </w:rPr>
        <w:tab/>
      </w:r>
    </w:p>
    <w:p>
      <w:pPr>
        <w:pStyle w:val="Normal"/>
        <w:keepNext w:val="fals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type w:val="continuous"/>
          <w:pgSz w:w="12240" w:h="15840"/>
          <w:pgMar w:left="5760" w:right="1440" w:gutter="0" w:header="1440" w:top="1496" w:footer="1440" w:bottom="1920"/>
          <w:formProt w:val="false"/>
          <w:textDirection w:val="lrTb"/>
          <w:docGrid w:type="default" w:linePitch="360" w:charSpace="0"/>
        </w:sectPr>
      </w:pPr>
      <w:r>
        <w:br w:type="page"/>
      </w:r>
    </w:p>
    <w:p>
      <w:pPr>
        <w:pStyle w:val="Normal"/>
        <w:keepLines w:val="false"/>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0"/>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COMPARISON OF FOOTERS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-FOOTER 1-</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DAL: </w:t>
      </w:r>
      <w:r>
        <w:rPr>
          <w:strike/>
          <w:color w:val="FF0000"/>
          <w:sz w:val="24"/>
        </w:rPr>
        <w:t>268991.1</w:t>
      </w:r>
      <w:r>
        <w:rPr>
          <w:sz w:val="24"/>
        </w:rPr>
        <w:t xml:space="preserve"> </w:t>
      </w:r>
      <w:r>
        <w:rPr>
          <w:b/>
          <w:color w:val="FF0000"/>
          <w:sz w:val="24"/>
          <w:u w:val="double"/>
        </w:rPr>
        <w:t>268991.2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-FOOTER 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Project Hawaii II (McGarret D)/Drawdown Request - Signature Page</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920" w:footer="1440" w:bottom="2040"/>
          <w:pgNumType w:fmt="decimal"/>
          <w:formProt w:val="false"/>
          <w:textDirection w:val="lrTb"/>
          <w:docGrid w:type="default" w:linePitch="360" w:charSpace="0"/>
        </w:sectPr>
      </w:pPr>
    </w:p>
    <w:p>
      <w:pPr>
        <w:sectPr>
          <w:type w:val="continuous"/>
          <w:pgSz w:w="12240" w:h="15840"/>
          <w:pgMar w:left="1440" w:right="1440" w:gutter="0" w:header="1440" w:top="1920" w:footer="1440" w:bottom="2040"/>
          <w:formProt w:val="false"/>
          <w:textDirection w:val="lrTb"/>
          <w:docGrid w:type="default" w:linePitch="360" w:charSpace="0"/>
        </w:sectPr>
        <w:pStyle w:val="Normal"/>
        <w:widowControl/>
        <w:numPr>
          <w:ilvl w:val="0"/>
          <w:numId w:val="0"/>
        </w:numP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r>
        <w:br w:type="page"/>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This redlined draft, generated by CompareRite (TM) - The Instant Redliner, shows the differences between -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original document   : C:\DOCUME~1\KRECC\LOCALS~1\TEMP\DAL_268991_1</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and revised document: C:\DOCUME~1\KRECC\LOCALS~1\TEMP\DAL_268991_2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CompareRite found    8 change(s) in the text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CompareRite found    1 change(s) in the notes</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Deletions appear as Strikethrough text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sz w:val="24"/>
        </w:rPr>
      </w:pPr>
      <w:r>
        <w:rPr>
          <w:sz w:val="24"/>
        </w:rPr>
        <w:t xml:space="preserve">Additions appear as Bold+Dbl Underline text </w:t>
      </w:r>
    </w:p>
    <w:sectPr>
      <w:headerReference w:type="even" r:id="rId10"/>
      <w:headerReference w:type="default" r:id="rId11"/>
      <w:footerReference w:type="even" r:id="rId12"/>
      <w:footerReference w:type="default" r:id="rId1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DAL:268991.2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
    <w:r>
      <mc:AlternateContent>
        <mc:Choice Requires="wps">
          <w:drawing>
            <wp:anchor behindDoc="0" distT="0" distB="0" distL="0" distR="0" simplePos="0" locked="0" layoutInCell="0" allowOverlap="1" relativeHeight="5">
              <wp:simplePos x="0" y="0"/>
              <wp:positionH relativeFrom="column">
                <wp:align>left</wp:align>
              </wp:positionH>
              <wp:positionV relativeFrom="page">
                <wp:posOffset>9144000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4</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4</w:t>
                    </w:r>
                    <w:r>
                      <w:rPr>
                        <w:sz w:val="24"/>
                      </w:rPr>
                      <w:fldChar w:fldCharType="end"/>
                    </w:r>
                    <w:r>
                      <w:rPr>
                        <w:sz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DAL:268991.2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
    <w:r>
      <mc:AlternateContent>
        <mc:Choice Requires="wps">
          <w:drawing>
            <wp:anchor behindDoc="0" distT="0" distB="0" distL="0" distR="0" simplePos="0" locked="0" layoutInCell="0" allowOverlap="1" relativeHeight="3">
              <wp:simplePos x="0" y="0"/>
              <wp:positionH relativeFrom="column">
                <wp:align>left</wp:align>
              </wp:positionH>
              <wp:positionV relativeFrom="page">
                <wp:posOffset>9144000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r>
                      <w:rPr>
                        <w:sz w:val="24"/>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r>
      <mc:AlternateContent>
        <mc:Choice Requires="wps">
          <w:drawing>
            <wp:anchor behindDoc="0" distT="0" distB="0" distL="0" distR="0" simplePos="0" locked="0" layoutInCell="0" allowOverlap="1" relativeHeight="6">
              <wp:simplePos x="0" y="0"/>
              <wp:positionH relativeFrom="column">
                <wp:align>left</wp:align>
              </wp:positionH>
              <wp:positionV relativeFrom="page">
                <wp:posOffset>9144000</wp:posOffset>
              </wp:positionV>
              <wp:extent cx="5943600" cy="177800"/>
              <wp:effectExtent l="0" t="0" r="0" b="0"/>
              <wp:wrapTopAndBottom/>
              <wp:docPr id="3" name="Frame4"/>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6</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6</w:t>
                    </w:r>
                    <w:r>
                      <w:rPr>
                        <w:sz w:val="24"/>
                      </w:rPr>
                      <w:fldChar w:fldCharType="end"/>
                    </w:r>
                    <w:r>
                      <w:rPr>
                        <w:sz w:val="24"/>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r>
      <mc:AlternateContent>
        <mc:Choice Requires="wps">
          <w:drawing>
            <wp:anchor behindDoc="0" distT="0" distB="0" distL="0" distR="0" simplePos="0" locked="0" layoutInCell="1" allowOverlap="1" relativeHeight="0">
              <wp:simplePos x="0" y="0"/>
              <wp:positionH relativeFrom="column">
                <wp:align>left</wp:align>
              </wp:positionH>
              <wp:positionV relativeFrom="page">
                <wp:posOffset>9144000</wp:posOffset>
              </wp:positionV>
              <wp:extent cx="5943600" cy="177800"/>
              <wp:effectExtent l="0" t="0" r="0" b="0"/>
              <wp:wrapTopAndBottom/>
              <wp:docPr id="4" name="Frame3"/>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0</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0</w:t>
                    </w:r>
                    <w:r>
                      <w:rPr>
                        <w:sz w:val="24"/>
                      </w:rPr>
                      <w:fldChar w:fldCharType="end"/>
                    </w:r>
                    <w:r>
                      <w:rPr>
                        <w:sz w:val="24"/>
                      </w:rPr>
                      <w:t>-</w:t>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