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EXHIBIT G1 TO FACILITY AGREEMENT</w:t>
      </w:r>
    </w:p>
    <w:p>
      <w:pPr>
        <w:pStyle w:val="Normal"/>
        <w:bidi w:val="0"/>
        <w:jc w:val="center"/>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b/>
          <w:sz w:val="24"/>
        </w:rPr>
      </w:pPr>
      <w:r>
        <w:rPr>
          <w:rFonts w:ascii="Times New Roman" w:hAnsi="Times New Roman"/>
          <w:b/>
          <w:sz w:val="24"/>
        </w:rPr>
        <w:t>TOTAL RETURN SWAP CONFIRMATION</w:t>
      </w:r>
    </w:p>
    <w:p>
      <w:pPr>
        <w:pStyle w:val="Normal"/>
        <w:bidi w:val="0"/>
        <w:jc w:val="center"/>
        <w:rPr>
          <w:rFonts w:ascii="Times New Roman" w:hAnsi="Times New Roman"/>
          <w:sz w:val="24"/>
        </w:rPr>
      </w:pPr>
      <w:r>
        <w:rPr>
          <w:rFonts w:ascii="Times New Roman" w:hAnsi="Times New Roman"/>
          <w:b/>
          <w:sz w:val="24"/>
          <w:u w:val="single"/>
        </w:rPr>
        <w:t xml:space="preserve">RELATING TO HAWAII I 125-0 TRUST SERIES </w:t>
      </w:r>
      <w:r>
        <w:rPr>
          <w:rFonts w:ascii="Times New Roman" w:hAnsi="Times New Roman"/>
          <w:b/>
          <w:i/>
          <w:sz w:val="24"/>
          <w:u w:val="single"/>
        </w:rPr>
        <w:t>[NAME]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ab/>
      </w:r>
      <w:r>
        <w:rPr>
          <w:rFonts w:ascii="Times New Roman" w:hAnsi="Times New Roman"/>
          <w:b/>
          <w:i/>
          <w:sz w:val="24"/>
        </w:rPr>
        <w:t>[Date]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[Enron Corp./Permitted Swap Party]</w:t>
      </w:r>
    </w:p>
    <w:p>
      <w:pPr>
        <w:pStyle w:val="Normal"/>
        <w:bidi w:val="0"/>
        <w:jc w:val="start"/>
        <w:rPr>
          <w:rFonts w:ascii="Times New Roman" w:hAnsi="Times New Roman"/>
          <w:sz w:val="24"/>
        </w:rPr>
      </w:pPr>
      <w:r>
        <w:rPr>
          <w:rFonts w:ascii="Times New Roman" w:hAnsi="Times New Roman"/>
          <w:sz w:val="24"/>
        </w:rPr>
        <w:t xml:space="preserve">1400 Smith Street </w:t>
      </w:r>
    </w:p>
    <w:p>
      <w:pPr>
        <w:pStyle w:val="Normal"/>
        <w:bidi w:val="0"/>
        <w:jc w:val="start"/>
        <w:rPr>
          <w:rFonts w:ascii="Times New Roman" w:hAnsi="Times New Roman"/>
          <w:sz w:val="24"/>
        </w:rPr>
      </w:pPr>
      <w:r>
        <w:rPr>
          <w:rFonts w:ascii="Times New Roman" w:hAnsi="Times New Roman"/>
          <w:sz w:val="24"/>
        </w:rPr>
        <w:t>Houston, Texas 77002</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Ladies and Gentlemen,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The purpose of this letter is to confirm the terms and conditions of the Transaction (the “</w:t>
      </w:r>
      <w:r>
        <w:rPr>
          <w:rFonts w:ascii="Times New Roman" w:hAnsi="Times New Roman"/>
          <w:b/>
          <w:sz w:val="24"/>
        </w:rPr>
        <w:t>Transaction</w:t>
      </w:r>
      <w:r>
        <w:rPr>
          <w:rFonts w:ascii="Times New Roman" w:hAnsi="Times New Roman"/>
          <w:sz w:val="24"/>
        </w:rPr>
        <w:t>”) entered into between us as of the date of this letter (the “</w:t>
      </w:r>
      <w:r>
        <w:rPr>
          <w:rFonts w:ascii="Times New Roman" w:hAnsi="Times New Roman"/>
          <w:b/>
          <w:sz w:val="24"/>
        </w:rPr>
        <w:t>Trade Date</w:t>
      </w:r>
      <w:r>
        <w:rPr>
          <w:rFonts w:ascii="Times New Roman" w:hAnsi="Times New Roman"/>
          <w:sz w:val="24"/>
        </w:rPr>
        <w:t>”).    This letter constitutes a “Confirmation” (this “</w:t>
      </w:r>
      <w:r>
        <w:rPr>
          <w:rFonts w:ascii="Times New Roman" w:hAnsi="Times New Roman"/>
          <w:b/>
          <w:sz w:val="24"/>
        </w:rPr>
        <w:t>Confirmation</w:t>
      </w:r>
      <w:r>
        <w:rPr>
          <w:rFonts w:ascii="Times New Roman" w:hAnsi="Times New Roman"/>
          <w:sz w:val="24"/>
        </w:rPr>
        <w:t>”) and incorporates by reference the definitions and provisions of the 1991 ISDA Definitions together with the 1998 Supplement to the 1991 ISDA Definitions (as published by the International Swaps and Derivatives Association, Inc.) (the “</w:t>
      </w:r>
      <w:r>
        <w:rPr>
          <w:rFonts w:ascii="Times New Roman" w:hAnsi="Times New Roman"/>
          <w:b/>
          <w:sz w:val="24"/>
        </w:rPr>
        <w:t>1991 Definitions</w:t>
      </w:r>
      <w:r>
        <w:rPr>
          <w:rFonts w:ascii="Times New Roman" w:hAnsi="Times New Roman"/>
          <w:sz w:val="24"/>
        </w:rPr>
        <w:t xml:space="preserve">”).    In the event of any inconsistency between those definitions and provisions and this Confirmation, this Confirmation will prevail.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This Confirmation forms part of, and is subject to, the Master Agreement between us dated as of    _________________, 2000 (the “</w:t>
      </w:r>
      <w:r>
        <w:rPr>
          <w:rFonts w:ascii="Times New Roman" w:hAnsi="Times New Roman"/>
          <w:b/>
          <w:sz w:val="24"/>
        </w:rPr>
        <w:t>Master Agreement</w:t>
      </w:r>
      <w:r>
        <w:rPr>
          <w:rFonts w:ascii="Times New Roman" w:hAnsi="Times New Roman"/>
          <w:sz w:val="24"/>
        </w:rPr>
        <w:t>”).    All the provisions contained in the Master Agreement govern this Confirmation except as expressly modified below.</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It is our intention to have this Confirmation serve as the final documentation for this Transaction and, accordingly, no letter confirmation will follow.    This Confirmation will be governed by and construed in accordance with the laws of </w:t>
      </w:r>
      <w:ins w:id="0" w:author="">
        <w:r>
          <w:rPr>
            <w:rFonts w:ascii="Times New Roman" w:hAnsi="Times New Roman"/>
            <w:b/>
            <w:sz w:val="24"/>
            <w:u w:val="double"/>
          </w:rPr>
          <w:t>the State of</w:t>
        </w:r>
      </w:ins>
      <w:r>
        <w:rPr>
          <w:rFonts w:ascii="Times New Roman" w:hAnsi="Times New Roman"/>
          <w:sz w:val="24"/>
        </w:rPr>
        <w:t xml:space="preserve"> New York.</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The terms of the Transaction to which this Confirmation relates are as follows: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1.</w:t>
        <w:tab/>
      </w:r>
      <w:r>
        <w:rPr>
          <w:rFonts w:ascii="Times New Roman" w:hAnsi="Times New Roman"/>
          <w:b/>
          <w:sz w:val="24"/>
          <w:u w:val="single"/>
        </w:rPr>
        <w:t>DEFINITIONS</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1.1</w:t>
        <w:tab/>
        <w:t>The parties are:</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(1)</w:t>
        <w:tab/>
        <w:t>Hawaii I 125-0 Trust, a Delaware business trust (the “</w:t>
      </w:r>
      <w:r>
        <w:rPr>
          <w:rFonts w:ascii="Times New Roman" w:hAnsi="Times New Roman"/>
          <w:b/>
          <w:sz w:val="24"/>
        </w:rPr>
        <w:t>Trust</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(2)</w:t>
        <w:tab/>
        <w:t>[Enron Corp./Permitted Swap Party] (the “</w:t>
      </w:r>
      <w:r>
        <w:rPr>
          <w:rFonts w:ascii="Times New Roman" w:hAnsi="Times New Roman"/>
          <w:b/>
          <w:sz w:val="24"/>
        </w:rPr>
        <w:t>Counterparty</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1.2</w:t>
        <w:tab/>
        <w:t>(a)</w:t>
        <w:tab/>
        <w:t>In this Confirmation, capitalized terms used but not defined herein shall have the meanings given to those terms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tab/>
        <w:t>In this Confirmation: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Advances</w:t>
      </w:r>
      <w:r>
        <w:rPr>
          <w:rFonts w:ascii="Times New Roman" w:hAnsi="Times New Roman"/>
          <w:sz w:val="24"/>
        </w:rPr>
        <w:t>” means the Advances comprising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Class B Interest</w:t>
      </w:r>
      <w:r>
        <w:rPr>
          <w:rFonts w:ascii="Times New Roman" w:hAnsi="Times New Roman"/>
          <w:sz w:val="24"/>
        </w:rPr>
        <w:t>” shall mean the Class B Interest in Series Asset LLC.</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Payment Date</w:t>
      </w:r>
      <w:r>
        <w:rPr>
          <w:rFonts w:ascii="Times New Roman" w:hAnsi="Times New Roman"/>
          <w:sz w:val="24"/>
        </w:rPr>
        <w:t>” means (i) each date determined to be an Interest Payment Date pursuant to the Facility Agreement with respect to the Applicable Tranche and (ii) the Series Final Distribution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Series</w:t>
      </w:r>
      <w:r>
        <w:rPr>
          <w:rFonts w:ascii="Times New Roman" w:hAnsi="Times New Roman"/>
          <w:sz w:val="24"/>
        </w:rPr>
        <w:t xml:space="preserve">” shall mean the Series </w:t>
      </w:r>
      <w:r>
        <w:rPr>
          <w:rFonts w:ascii="Times New Roman" w:hAnsi="Times New Roman"/>
          <w:b/>
          <w:i/>
          <w:sz w:val="24"/>
        </w:rPr>
        <w:t>[name]</w:t>
      </w:r>
      <w:r>
        <w:rPr>
          <w:rFonts w:ascii="Times New Roman" w:hAnsi="Times New Roman"/>
          <w:sz w:val="24"/>
        </w:rPr>
        <w:t xml:space="preserve"> of the Trust, created pursuant to a Series Supplement dated as of the date hereof executed by the Agent and the Sponsor.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Tranche</w:t>
      </w:r>
      <w:r>
        <w:rPr>
          <w:rFonts w:ascii="Times New Roman" w:hAnsi="Times New Roman"/>
          <w:sz w:val="24"/>
        </w:rPr>
        <w:t>” means the Tranche under the Facility Agreement drawn down on the date hereof with respect to the Applicable Series.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Calculation Agent</w:t>
      </w:r>
      <w:r>
        <w:rPr>
          <w:rFonts w:ascii="Times New Roman" w:hAnsi="Times New Roman"/>
          <w:sz w:val="24"/>
        </w:rPr>
        <w:t>” means CIBC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CIBC</w:t>
      </w:r>
      <w:r>
        <w:rPr>
          <w:rFonts w:ascii="Times New Roman" w:hAnsi="Times New Roman"/>
          <w:sz w:val="24"/>
        </w:rPr>
        <w:t>” means Canadian Imperial Bank of Commerce.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Cost of Carry</w:t>
      </w:r>
      <w:r>
        <w:rPr>
          <w:rFonts w:ascii="Times New Roman" w:hAnsi="Times New Roman"/>
          <w:sz w:val="24"/>
        </w:rPr>
        <w:t>” means, for any date, any amounts due and payable by the Trust on such date with respect to the Applicable Tranche to any of the Finance Parties (as defined in the Facility Agreement) pursuant to Article XXV (Indemnities) of the Facility Agreement, calculated in accordance with the requirements set forth in the definition of “Calculation Agent.”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Default Interest Period</w:t>
      </w:r>
      <w:r>
        <w:rPr>
          <w:rFonts w:ascii="Times New Roman" w:hAnsi="Times New Roman"/>
          <w:sz w:val="24"/>
        </w:rPr>
        <w:t>” has the meaning given to that term in Section 2.4.</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Default Rate</w:t>
      </w:r>
      <w:r>
        <w:rPr>
          <w:rFonts w:ascii="Times New Roman" w:hAnsi="Times New Roman"/>
          <w:sz w:val="24"/>
        </w:rPr>
        <w:t>” has the meaning given to that term in Section 2.4.</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Disposition Date</w:t>
      </w:r>
      <w:r>
        <w:rPr>
          <w:rFonts w:ascii="Times New Roman" w:hAnsi="Times New Roman"/>
          <w:sz w:val="24"/>
        </w:rPr>
        <w:t xml:space="preserve">” means the date on which the Applicable Class B Interest is purchased pursuant to the auction procedure set out in Section 3.03(b) of the Series Asset LLC Agreement if such date occurs after </w:t>
      </w:r>
      <w:ins w:id="1" w:author="">
        <w:r>
          <w:rPr>
            <w:rFonts w:ascii="Times New Roman" w:hAnsi="Times New Roman"/>
            <w:strike/>
            <w:sz w:val="24"/>
          </w:rPr>
          <w:t>all amounts due</w:t>
        </w:r>
      </w:ins>
      <w:r>
        <w:rPr>
          <w:rFonts w:ascii="Times New Roman" w:hAnsi="Times New Roman"/>
          <w:sz w:val="24"/>
        </w:rPr>
        <w:t xml:space="preserve"> </w:t>
      </w:r>
      <w:ins w:id="2" w:author="">
        <w:r>
          <w:rPr>
            <w:rFonts w:ascii="Times New Roman" w:hAnsi="Times New Roman"/>
            <w:b/>
            <w:sz w:val="24"/>
            <w:u w:val="double"/>
          </w:rPr>
          <w:t>the date on which all outstanding principal, accrued interest and any other amounts owed</w:t>
        </w:r>
      </w:ins>
      <w:r>
        <w:rPr>
          <w:rFonts w:ascii="Times New Roman" w:hAnsi="Times New Roman"/>
          <w:sz w:val="24"/>
        </w:rPr>
        <w:t xml:space="preserve"> to the Lenders pursuant to the Facility Agreement with respect to the Applicable Tranche have been paid </w:t>
      </w:r>
      <w:ins w:id="3" w:author="">
        <w:r>
          <w:rPr>
            <w:rFonts w:ascii="Times New Roman" w:hAnsi="Times New Roman"/>
            <w:b/>
            <w:sz w:val="24"/>
            <w:u w:val="double"/>
          </w:rPr>
          <w:t>in full</w:t>
        </w:r>
      </w:ins>
      <w:ins w:id="4" w:author="">
        <w:r>
          <w:rPr>
            <w:rFonts w:ascii="Times New Roman" w:hAnsi="Times New Roman"/>
            <w:strike/>
            <w:sz w:val="24"/>
          </w:rPr>
          <w:t>.</w:t>
        </w:r>
      </w:ins>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w:t>
      </w:r>
      <w:r>
        <w:rPr>
          <w:rFonts w:ascii="Times New Roman" w:hAnsi="Times New Roman"/>
          <w:b/>
          <w:sz w:val="24"/>
        </w:rPr>
        <w:t>Equity Investment”</w:t>
      </w:r>
      <w:r>
        <w:rPr>
          <w:rFonts w:ascii="Times New Roman" w:hAnsi="Times New Roman"/>
          <w:sz w:val="24"/>
        </w:rPr>
        <w:t xml:space="preserve"> shall mean, as </w:t>
      </w:r>
      <w:ins w:id="5" w:author="">
        <w:r>
          <w:rPr>
            <w:rFonts w:ascii="Times New Roman" w:hAnsi="Times New Roman"/>
            <w:strike/>
            <w:sz w:val="24"/>
          </w:rPr>
          <w:t>at</w:t>
        </w:r>
      </w:ins>
      <w:r>
        <w:rPr>
          <w:rFonts w:ascii="Times New Roman" w:hAnsi="Times New Roman"/>
          <w:sz w:val="24"/>
        </w:rPr>
        <w:t xml:space="preserve"> </w:t>
      </w:r>
      <w:ins w:id="6" w:author="">
        <w:r>
          <w:rPr>
            <w:rFonts w:ascii="Times New Roman" w:hAnsi="Times New Roman"/>
            <w:b/>
            <w:sz w:val="24"/>
            <w:u w:val="double"/>
          </w:rPr>
          <w:t>of</w:t>
        </w:r>
      </w:ins>
      <w:r>
        <w:rPr>
          <w:rFonts w:ascii="Times New Roman" w:hAnsi="Times New Roman"/>
          <w:sz w:val="24"/>
        </w:rPr>
        <w:t xml:space="preserve"> any date of determination, the aggregate outstanding Certificate Base Amount (as defined in the Trust Agreement) of the Series Certificate plus accrued but unpaid Certificate Yield (as defined in the Trust Agreement) thereon.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w:t>
      </w:r>
      <w:r>
        <w:rPr>
          <w:rFonts w:ascii="Times New Roman" w:hAnsi="Times New Roman"/>
          <w:b/>
          <w:sz w:val="24"/>
        </w:rPr>
        <w:t>Estimated Value”</w:t>
      </w:r>
      <w:r>
        <w:rPr>
          <w:rFonts w:ascii="Times New Roman" w:hAnsi="Times New Roman"/>
          <w:sz w:val="24"/>
        </w:rPr>
        <w:t xml:space="preserve"> shall mean the sum of the Equity Investment and the Notional Amount.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Facility Agreement</w:t>
      </w:r>
      <w:r>
        <w:rPr>
          <w:rFonts w:ascii="Times New Roman" w:hAnsi="Times New Roman"/>
          <w:sz w:val="24"/>
        </w:rPr>
        <w:t>” means that certain Facility Agreement dated [</w:t>
      </w:r>
      <w:r>
        <w:rPr>
          <w:rFonts w:ascii="Times New Roman" w:hAnsi="Times New Roman"/>
          <w:b/>
          <w:sz w:val="24"/>
        </w:rPr>
        <w:t>date</w:t>
      </w:r>
      <w:r>
        <w:rPr>
          <w:rFonts w:ascii="Times New Roman" w:hAnsi="Times New Roman"/>
          <w:sz w:val="24"/>
        </w:rPr>
        <w:t>] executed by the Trust as the issuer of the Notes, Canadian Imperial Bank of Commerce, as Agent, and the other financial institutions named therein, as the same may be amended, modified, restated or novated from time to time.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Increased Amounts</w:t>
      </w:r>
      <w:r>
        <w:rPr>
          <w:rFonts w:ascii="Times New Roman" w:hAnsi="Times New Roman"/>
          <w:sz w:val="24"/>
        </w:rPr>
        <w:t>” means, for any date, any amounts due and payable by the Trust on such date with respect to the Applicable Tranche to any of the Finance Parties (as defined in the Facility Agreement) pursuant to Section 8.4, 8.6 or 8.8 of the Facility Agreement, calculated in accordance with the requirements set forth in the definition of “Calculation Agent.”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Interest Payable</w:t>
      </w:r>
      <w:r>
        <w:rPr>
          <w:rFonts w:ascii="Times New Roman" w:hAnsi="Times New Roman"/>
          <w:sz w:val="24"/>
        </w:rPr>
        <w:t>” means, for any date, all interest payable by the Trust to the Lenders under the Facility Agreement on such date with respect to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ins w:id="7" w:author="">
        <w:r>
          <w:rPr>
            <w:rFonts w:ascii="Times New Roman" w:hAnsi="Times New Roman"/>
            <w:b/>
            <w:sz w:val="24"/>
            <w:u w:val="double"/>
          </w:rPr>
          <w:t>“</w:t>
        </w:r>
      </w:ins>
      <w:ins w:id="8" w:author="">
        <w:r>
          <w:rPr>
            <w:rFonts w:ascii="Times New Roman" w:hAnsi="Times New Roman"/>
            <w:b/>
            <w:sz w:val="24"/>
            <w:u w:val="double"/>
          </w:rPr>
          <w:t>Interim Notional Amount” shall mean, as of any date of determination, the accrued but unpaid interest on the Applicable Tranche.</w:t>
        </w:r>
      </w:ins>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Lenders</w:t>
      </w:r>
      <w:r>
        <w:rPr>
          <w:rFonts w:ascii="Times New Roman" w:hAnsi="Times New Roman"/>
          <w:sz w:val="24"/>
        </w:rPr>
        <w:t>” shall have the meaning given to that term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“LIBOR Advance”</w:t>
      </w:r>
      <w:r>
        <w:rPr>
          <w:rFonts w:ascii="Times New Roman" w:hAnsi="Times New Roman"/>
          <w:sz w:val="24"/>
        </w:rPr>
        <w:t xml:space="preserve"> shall have the meaning given to that term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Monies Received</w:t>
      </w:r>
      <w:r>
        <w:rPr>
          <w:rFonts w:ascii="Times New Roman" w:hAnsi="Times New Roman"/>
          <w:sz w:val="24"/>
        </w:rPr>
        <w:t>” shall mean all monies actually and irrevocably received by the Trust    from time to time as a distribution on the Class B Interest or pursuant to a Sale of the Class B Interest by way of auction under Section 3.03 of the Series Asset LLC Agreement provided that “Monies Received” shall not include amounts received by the Trust which are applied in paying any amounts due to the Lenders under the Facility Agreement (including, without limitation, prepayments) or monies previously irrevocably paid to the Counterparty hereunder.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Notes</w:t>
      </w:r>
      <w:r>
        <w:rPr>
          <w:rFonts w:ascii="Times New Roman" w:hAnsi="Times New Roman"/>
          <w:sz w:val="24"/>
        </w:rPr>
        <w:t>” means the notes issued by the Trust, payable to the order of the Lenders, pursuant to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w:t>
      </w:r>
      <w:r>
        <w:rPr>
          <w:rFonts w:ascii="Times New Roman" w:hAnsi="Times New Roman"/>
          <w:b/>
          <w:sz w:val="24"/>
        </w:rPr>
        <w:t>Notional Amount”</w:t>
      </w:r>
      <w:r>
        <w:rPr>
          <w:rFonts w:ascii="Times New Roman" w:hAnsi="Times New Roman"/>
          <w:sz w:val="24"/>
        </w:rPr>
        <w:t xml:space="preserve"> shall mean, as </w:t>
      </w:r>
      <w:ins w:id="9" w:author="">
        <w:r>
          <w:rPr>
            <w:rFonts w:ascii="Times New Roman" w:hAnsi="Times New Roman"/>
            <w:strike/>
            <w:sz w:val="24"/>
          </w:rPr>
          <w:t>at</w:t>
        </w:r>
      </w:ins>
      <w:r>
        <w:rPr>
          <w:rFonts w:ascii="Times New Roman" w:hAnsi="Times New Roman"/>
          <w:sz w:val="24"/>
        </w:rPr>
        <w:t xml:space="preserve"> </w:t>
      </w:r>
      <w:ins w:id="10" w:author="">
        <w:r>
          <w:rPr>
            <w:rFonts w:ascii="Times New Roman" w:hAnsi="Times New Roman"/>
            <w:b/>
            <w:sz w:val="24"/>
            <w:u w:val="double"/>
          </w:rPr>
          <w:t>of</w:t>
        </w:r>
      </w:ins>
      <w:r>
        <w:rPr>
          <w:rFonts w:ascii="Times New Roman" w:hAnsi="Times New Roman"/>
          <w:sz w:val="24"/>
        </w:rPr>
        <w:t xml:space="preserve"> any date of determination, the aggregate outstanding principal amount of the Applicable Tranche plus accrued but unpaid interest on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rPr>
          <w:rFonts w:ascii="Times New Roman" w:hAnsi="Times New Roman"/>
          <w:b/>
          <w:i/>
          <w:sz w:val="24"/>
        </w:rPr>
        <w:t>[“Principal Put Notice” shall have the meaning given to that term in the Put Option Agreement.]    [Delete if not applicable]</w:t>
      </w:r>
    </w:p>
    <w:p>
      <w:pPr>
        <w:pStyle w:val="Normal"/>
        <w:bidi w:val="0"/>
        <w:jc w:val="start"/>
        <w:rPr>
          <w:rFonts w:ascii="Times New Roman" w:hAnsi="Times New Roman"/>
          <w:b/>
          <w:i/>
          <w:i/>
          <w:sz w:val="24"/>
        </w:rPr>
      </w:pPr>
      <w:r>
        <w:rPr>
          <w:rFonts w:ascii="Times New Roman" w:hAnsi="Times New Roman"/>
          <w:b/>
          <w:i/>
          <w:sz w:val="24"/>
        </w:rPr>
      </w:r>
    </w:p>
    <w:p>
      <w:pPr>
        <w:pStyle w:val="Normal"/>
        <w:bidi w:val="0"/>
        <w:ind w:hanging="0" w:start="720"/>
        <w:jc w:val="start"/>
        <w:rPr>
          <w:rFonts w:ascii="Times New Roman" w:hAnsi="Times New Roman"/>
          <w:b/>
          <w:i/>
          <w:i/>
          <w:sz w:val="24"/>
        </w:rPr>
      </w:pPr>
      <w:r>
        <w:rPr>
          <w:rFonts w:ascii="Times New Roman" w:hAnsi="Times New Roman"/>
          <w:b/>
          <w:i/>
          <w:sz w:val="24"/>
        </w:rPr>
        <w:t>[“Put Notice” shall have the meaning given to that term in the Put Option Agreement.]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rPr>
          <w:rFonts w:ascii="Times New Roman" w:hAnsi="Times New Roman"/>
          <w:b/>
          <w:i/>
          <w:sz w:val="24"/>
        </w:rPr>
        <w:t>[“Put Option Agreement” means that certain Put Option Agreement dated the date hereof executed by Series Asset LLC and the Sponsor.] 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Series Asset LLC</w:t>
      </w:r>
      <w:r>
        <w:rPr>
          <w:rFonts w:ascii="Times New Roman" w:hAnsi="Times New Roman"/>
          <w:sz w:val="24"/>
        </w:rPr>
        <w:t xml:space="preserve">” means </w:t>
      </w:r>
      <w:r>
        <w:rPr>
          <w:rFonts w:ascii="Times New Roman" w:hAnsi="Times New Roman"/>
          <w:b/>
          <w:i/>
          <w:sz w:val="24"/>
        </w:rPr>
        <w:t>[Name of Asset LLC]</w:t>
      </w:r>
      <w:r>
        <w:rPr>
          <w:rFonts w:ascii="Times New Roman" w:hAnsi="Times New Roman"/>
          <w:sz w:val="24"/>
        </w:rPr>
        <w:t>, a Delaware limited liability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Series Asset LLC Agreement</w:t>
      </w:r>
      <w:r>
        <w:rPr>
          <w:rFonts w:ascii="Times New Roman" w:hAnsi="Times New Roman"/>
          <w:sz w:val="24"/>
        </w:rPr>
        <w:t>” means the amended and restated limited liability company agreement of Series Asset LLC dated the date hereof.</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Series Certificate</w:t>
      </w:r>
      <w:r>
        <w:rPr>
          <w:rFonts w:ascii="Times New Roman" w:hAnsi="Times New Roman"/>
          <w:sz w:val="24"/>
        </w:rPr>
        <w:t>” means the Series Certificate (as defined in the Trust Agreement) issued by the Trust with respect to the Applicable Series.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Series Final Distribution Date</w:t>
      </w:r>
      <w:r>
        <w:rPr>
          <w:rFonts w:ascii="Times New Roman" w:hAnsi="Times New Roman"/>
          <w:sz w:val="24"/>
        </w:rPr>
        <w:t>” shall mean the “Final Distribution Date” (as defined in the Trust Agreement) with respect to the Applicable Series.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b/>
          <w:sz w:val="24"/>
        </w:rPr>
        <w:t>Sponsor</w:t>
      </w:r>
      <w:r>
        <w:rPr>
          <w:rFonts w:ascii="Times New Roman" w:hAnsi="Times New Roman"/>
          <w:sz w:val="24"/>
        </w:rPr>
        <w:t>” means the Class A Member of Series Asset LLC.</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Transaction Costs</w:t>
      </w:r>
      <w:r>
        <w:rPr>
          <w:rFonts w:ascii="Times New Roman" w:hAnsi="Times New Roman"/>
          <w:sz w:val="24"/>
        </w:rPr>
        <w:t>” means, for any date, the reasonable out of pocket costs and expenses actually incurred with respect to the Applicable Tranche by CIBC, in its capacity as agent for the Lenders, the Lenders or the Calculation Agent arising out of the collection and/or enforcement and/or similar action in respect of the Facility Agreement, calculated in accordance with the requirements set forth in the definition of “Calculation Agent”.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Trust Agreement</w:t>
      </w:r>
      <w:r>
        <w:rPr>
          <w:rFonts w:ascii="Times New Roman" w:hAnsi="Times New Roman"/>
          <w:sz w:val="24"/>
        </w:rPr>
        <w:t>” means that certain Second Amended and Restated Trust Agreement governing Hawaii I 125-0 Trust dated as of November 20, 2000, and executed by Wilmington Trust Company, as Owner Trustee and the Certificate Holder party thereto, and any other document expressed to be made supplemental to, amending or modifying the foregoing or entered into pursuant thereto.</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2.</w:t>
        <w:tab/>
      </w:r>
      <w:r>
        <w:rPr>
          <w:rFonts w:ascii="Times New Roman" w:hAnsi="Times New Roman"/>
          <w:b/>
          <w:sz w:val="24"/>
          <w:u w:val="single"/>
        </w:rPr>
        <w:t>DELIVERY OF PUT NOTICE; PAYMENTS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ind w:hanging="720" w:start="720"/>
        <w:jc w:val="start"/>
        <w:rPr>
          <w:rFonts w:ascii="Times New Roman" w:hAnsi="Times New Roman"/>
          <w:sz w:val="24"/>
        </w:rPr>
      </w:pPr>
      <w:r>
        <w:rPr>
          <w:rFonts w:ascii="Times New Roman" w:hAnsi="Times New Roman"/>
          <w:sz w:val="24"/>
        </w:rPr>
        <w:t>2.1</w:t>
        <w:tab/>
      </w:r>
      <w:r>
        <w:rPr>
          <w:rFonts w:ascii="Times New Roman" w:hAnsi="Times New Roman"/>
          <w:sz w:val="24"/>
          <w:u w:val="single"/>
        </w:rPr>
        <w:t>General Terms for Payments</w:t>
      </w:r>
    </w:p>
    <w:p>
      <w:pPr>
        <w:pStyle w:val="Normal"/>
        <w:keepLines/>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(a)</w:t>
        <w:tab/>
        <w:t>Trade Date:    the Drawdown Date in respect of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Effective Date:    the Drawdown Date in respect of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Fixed Rate Payer: 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Floating Rate Payer:    the Counterparty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Business Day Convention:    Following</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(b)</w:t>
        <w:tab/>
        <w:t>The provisions of Section 2(c) (Netting) of the Master Agreement shall apply to this Confirmation.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2.2</w:t>
        <w:tab/>
      </w:r>
      <w:r>
        <w:rPr>
          <w:rFonts w:ascii="Times New Roman" w:hAnsi="Times New Roman"/>
          <w:sz w:val="24"/>
          <w:u w:val="single"/>
        </w:rPr>
        <w:t>Fixed Payments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Fixed Payment Dates: Each Applicable Payment Date and (if not an Applicable Payment Date) the Disposition Date.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 xml:space="preserve">Fixed Amount </w:t>
      </w:r>
      <w:r>
        <w:rPr>
          <w:rFonts w:ascii="Times New Roman" w:hAnsi="Times New Roman"/>
          <w:b/>
          <w:i/>
          <w:sz w:val="24"/>
        </w:rPr>
        <w:t>[subject to Section 2.5(b)]</w:t>
      </w:r>
      <w:r>
        <w:rPr>
          <w:rFonts w:ascii="Times New Roman" w:hAnsi="Times New Roman"/>
          <w:sz w:val="24"/>
        </w:rPr>
        <w:t>:</w:t>
      </w:r>
    </w:p>
    <w:p>
      <w:pPr>
        <w:pStyle w:val="Normal"/>
        <w:keepNext w:val="true"/>
        <w:bidi w:val="0"/>
        <w:jc w:val="start"/>
        <w:rPr>
          <w:rFonts w:ascii="Times New Roman" w:hAnsi="Times New Roman"/>
          <w:sz w:val="24"/>
        </w:rPr>
      </w:pPr>
      <w:r>
        <w:rPr>
          <w:rFonts w:ascii="Times New Roman" w:hAnsi="Times New Roman"/>
          <w:sz w:val="24"/>
        </w:rPr>
      </w:r>
    </w:p>
    <w:p>
      <w:pPr>
        <w:pStyle w:val="Normal"/>
        <w:keepLines/>
        <w:bidi w:val="0"/>
        <w:jc w:val="start"/>
        <w:rPr>
          <w:rFonts w:ascii="Times New Roman" w:hAnsi="Times New Roman"/>
          <w:b/>
          <w:sz w:val="24"/>
          <w:u w:val="double"/>
          <w:ins w:id="13" w:author=""/>
        </w:rPr>
      </w:pPr>
      <w:r>
        <w:rPr>
          <w:rFonts w:ascii="Times New Roman" w:hAnsi="Times New Roman"/>
          <w:sz w:val="24"/>
        </w:rPr>
        <w:tab/>
        <w:t>(a)</w:t>
        <w:tab/>
        <w:t>on each Applicable Payment Date (other than the Series Final Distribution Date or, if applicable, the Disposition Date)</w:t>
      </w:r>
      <w:ins w:id="11" w:author="">
        <w:r>
          <w:rPr>
            <w:rFonts w:ascii="Times New Roman" w:hAnsi="Times New Roman"/>
            <w:strike/>
            <w:sz w:val="24"/>
          </w:rPr>
          <w:t>, the Monies Received.</w:t>
        </w:r>
      </w:ins>
      <w:ins w:id="12" w:author="">
        <w:r>
          <w:rPr>
            <w:rFonts w:ascii="Times New Roman" w:hAnsi="Times New Roman"/>
            <w:b/>
            <w:sz w:val="24"/>
            <w:u w:val="double"/>
          </w:rPr>
          <w:t>:</w:t>
        </w:r>
      </w:ins>
    </w:p>
    <w:p>
      <w:pPr>
        <w:pStyle w:val="Normal"/>
        <w:bidi w:val="0"/>
        <w:jc w:val="start"/>
        <w:rPr>
          <w:rFonts w:ascii="Times New Roman" w:hAnsi="Times New Roman"/>
          <w:b/>
          <w:sz w:val="24"/>
          <w:u w:val="double"/>
          <w:ins w:id="15" w:author=""/>
        </w:rPr>
      </w:pPr>
      <w:ins w:id="14" w:author="">
        <w:r>
          <w:rPr>
            <w:rFonts w:ascii="Times New Roman" w:hAnsi="Times New Roman"/>
            <w:b/>
            <w:sz w:val="24"/>
            <w:u w:val="double"/>
          </w:rPr>
        </w:r>
      </w:ins>
    </w:p>
    <w:p>
      <w:pPr>
        <w:pStyle w:val="Normal"/>
        <w:tabs>
          <w:tab w:val="left" w:pos="720" w:leader="none"/>
          <w:tab w:val="left" w:pos="1440" w:leader="none"/>
          <w:tab w:val="left" w:pos="2160" w:leader="none"/>
        </w:tabs>
        <w:bidi w:val="0"/>
        <w:ind w:hanging="720" w:start="2160"/>
        <w:jc w:val="start"/>
        <w:rPr>
          <w:rFonts w:ascii="Times New Roman" w:hAnsi="Times New Roman"/>
          <w:b/>
          <w:sz w:val="24"/>
          <w:u w:val="double"/>
          <w:ins w:id="17" w:author=""/>
        </w:rPr>
      </w:pPr>
      <w:ins w:id="16" w:author="">
        <w:r>
          <w:rPr>
            <w:rFonts w:ascii="Times New Roman" w:hAnsi="Times New Roman"/>
            <w:b/>
            <w:sz w:val="24"/>
            <w:u w:val="double"/>
          </w:rPr>
          <w:t>(A)</w:t>
          <w:tab/>
          <w:t>In the event that the Monies Received are equal to or exceed the Interim Notional Amount, an amount equal to the Interim Notional Amount.</w:t>
        </w:r>
      </w:ins>
    </w:p>
    <w:p>
      <w:pPr>
        <w:pStyle w:val="Normal"/>
        <w:bidi w:val="0"/>
        <w:jc w:val="start"/>
        <w:rPr>
          <w:rFonts w:ascii="Times New Roman" w:hAnsi="Times New Roman"/>
          <w:b/>
          <w:sz w:val="24"/>
          <w:u w:val="double"/>
          <w:ins w:id="19" w:author=""/>
        </w:rPr>
      </w:pPr>
      <w:ins w:id="18" w:author="">
        <w:r>
          <w:rPr>
            <w:rFonts w:ascii="Times New Roman" w:hAnsi="Times New Roman"/>
            <w:b/>
            <w:sz w:val="24"/>
            <w:u w:val="double"/>
          </w:rPr>
        </w:r>
      </w:ins>
    </w:p>
    <w:p>
      <w:pPr>
        <w:pStyle w:val="Normal"/>
        <w:tabs>
          <w:tab w:val="left" w:pos="720" w:leader="none"/>
          <w:tab w:val="left" w:pos="1440" w:leader="none"/>
          <w:tab w:val="left" w:pos="2160" w:leader="none"/>
        </w:tabs>
        <w:bidi w:val="0"/>
        <w:ind w:hanging="720" w:start="2160"/>
        <w:jc w:val="start"/>
        <w:rPr>
          <w:rFonts w:ascii="Times New Roman" w:hAnsi="Times New Roman"/>
          <w:sz w:val="24"/>
        </w:rPr>
      </w:pPr>
      <w:ins w:id="20" w:author="">
        <w:r>
          <w:rPr>
            <w:rFonts w:ascii="Times New Roman" w:hAnsi="Times New Roman"/>
            <w:b/>
            <w:sz w:val="24"/>
            <w:u w:val="double"/>
          </w:rPr>
          <w:t>(B)</w:t>
          <w:tab/>
          <w:t>In the event that the Monies Received are less than the Interim Notional Amount, an amount equal to the Monies Received.</w:t>
        </w:r>
      </w:ins>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tab/>
        <w:t>on the Series Final Distribution Date or, if applicable, the Disposition Date:</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720" w:start="2160"/>
        <w:jc w:val="start"/>
        <w:rPr>
          <w:rFonts w:ascii="Times New Roman" w:hAnsi="Times New Roman"/>
          <w:sz w:val="24"/>
        </w:rPr>
      </w:pPr>
      <w:r>
        <w:rPr>
          <w:rFonts w:ascii="Times New Roman" w:hAnsi="Times New Roman"/>
          <w:sz w:val="24"/>
        </w:rPr>
        <w:t>(A)</w:t>
        <w:tab/>
        <w:t>In the event that the Monies Received exceed the Estimated Value, an amount equal to the Monies Received less the Equity Investment.</w:t>
      </w:r>
    </w:p>
    <w:p>
      <w:pPr>
        <w:pStyle w:val="Normal"/>
        <w:bidi w:val="0"/>
        <w:jc w:val="start"/>
        <w:rPr>
          <w:rFonts w:ascii="Times New Roman" w:hAnsi="Times New Roman"/>
          <w:sz w:val="24"/>
        </w:rPr>
      </w:pPr>
      <w:r>
        <w:rPr>
          <w:rFonts w:ascii="Times New Roman" w:hAnsi="Times New Roman"/>
          <w:sz w:val="24"/>
        </w:rPr>
        <w:tab/>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(B)</w:t>
        <w:tab/>
        <w:t>In the event that the Monies Received are less than the Notional Amount, an amount equal to the Monies Received.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(C)</w:t>
        <w:tab/>
        <w:t>In the event that the Monies Received are equal to or exceed the Notional Amount and are less than or equal to the Estimated Value, an amount equal to the Notional Amount.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2.3</w:t>
        <w:tab/>
      </w:r>
      <w:r>
        <w:rPr>
          <w:rFonts w:ascii="Times New Roman" w:hAnsi="Times New Roman"/>
          <w:sz w:val="24"/>
          <w:u w:val="single"/>
        </w:rPr>
        <w:t>Floating Payments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Floating Payment Dates: Each Applicable Payment Date.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 xml:space="preserve">Floating Amount    </w:t>
      </w:r>
      <w:r>
        <w:rPr>
          <w:rFonts w:ascii="Times New Roman" w:hAnsi="Times New Roman"/>
          <w:b/>
          <w:i/>
          <w:sz w:val="24"/>
        </w:rPr>
        <w:t>[subject to Section 2.5(b)]</w:t>
      </w:r>
      <w:r>
        <w:rPr>
          <w:rFonts w:ascii="Times New Roman" w:hAnsi="Times New Roman"/>
          <w:sz w:val="24"/>
        </w:rPr>
        <w:t xml:space="preserve">: </w:t>
      </w:r>
    </w:p>
    <w:p>
      <w:pPr>
        <w:pStyle w:val="Normal"/>
        <w:keepNext w:val="true"/>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(i)</w:t>
        <w:tab/>
        <w:t>On each Applicable Payment Date (including the Series Final Distribution Date), the sum of (without duplication) (a) the Interest Payable; (b) the Increased Amounts (if any) (c) the Costs of Carry (if any); and (d) the Transaction Costs (if any); and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(ii)</w:t>
        <w:tab/>
        <w:t>on the Series Final Distribution Date, the aggregate principal balance of the Applicable Tranche on such date.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2.4</w:t>
        <w:tab/>
      </w:r>
      <w:r>
        <w:rPr>
          <w:rFonts w:ascii="Times New Roman" w:hAnsi="Times New Roman"/>
          <w:sz w:val="24"/>
          <w:u w:val="single"/>
        </w:rPr>
        <w:t>Interest on Unpaid Sums</w:t>
      </w:r>
      <w:r>
        <w:rPr>
          <w:rFonts w:ascii="Times New Roman" w:hAnsi="Times New Roman"/>
          <w:sz w:val="24"/>
        </w:rPr>
        <w:t>.</w:t>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(a)</w:t>
        <w:tab/>
        <w:t>If the Counterparty fails to pay any sum due from it under the Transaction on its due date (an “</w:t>
      </w:r>
      <w:r>
        <w:rPr>
          <w:rFonts w:ascii="Times New Roman" w:hAnsi="Times New Roman"/>
          <w:b/>
          <w:sz w:val="24"/>
          <w:u w:val="single"/>
        </w:rPr>
        <w:t>unpaid sum</w:t>
      </w:r>
      <w:r>
        <w:rPr>
          <w:rFonts w:ascii="Times New Roman" w:hAnsi="Times New Roman"/>
          <w:sz w:val="24"/>
        </w:rPr>
        <w:t>”), the Counterparty will pay default interest on such unpaid sum from its due date to the date of actual payment (after as well as before judgment) at a rate (the “</w:t>
      </w:r>
      <w:r>
        <w:rPr>
          <w:rFonts w:ascii="Times New Roman" w:hAnsi="Times New Roman"/>
          <w:b/>
          <w:sz w:val="24"/>
        </w:rPr>
        <w:t>Default Rate</w:t>
      </w:r>
      <w:r>
        <w:rPr>
          <w:rFonts w:ascii="Times New Roman" w:hAnsi="Times New Roman"/>
          <w:sz w:val="24"/>
        </w:rPr>
        <w:t>”) determined by the Calculation Agent to be 2% per annum above the rate which would be payable if the unpaid sum were a LIBOR Advance for a period equal to the period of non-payment divided into successive interest periods of such duration as shall be selected by the Calculation Agent (a “</w:t>
      </w:r>
      <w:r>
        <w:rPr>
          <w:rFonts w:ascii="Times New Roman" w:hAnsi="Times New Roman"/>
          <w:b/>
          <w:sz w:val="24"/>
        </w:rPr>
        <w:t>Default Interest Period</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(b)</w:t>
        <w:tab/>
        <w:t>Default interest will be payable by the Counterparty automatically and will be, to the extent permitted by law, compounded at the end of each Default Interest Period.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(c)</w:t>
        <w:tab/>
        <w:t>The Calculation Agent will promptly notify the Counterparty of each determination of the Default Rate and each selection of a Default Interest Period.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b/>
          <w:i/>
          <w:i/>
          <w:sz w:val="24"/>
        </w:rPr>
      </w:pPr>
      <w:r>
        <w:rPr>
          <w:rFonts w:ascii="Times New Roman" w:hAnsi="Times New Roman"/>
          <w:sz w:val="24"/>
        </w:rPr>
        <w:t>2.5</w:t>
        <w:tab/>
      </w:r>
      <w:r>
        <w:rPr>
          <w:rFonts w:ascii="Times New Roman" w:hAnsi="Times New Roman"/>
          <w:sz w:val="24"/>
          <w:u w:val="single"/>
        </w:rPr>
        <w:t>Condition of Payment Obligations</w:t>
      </w:r>
      <w:r>
        <w:rPr>
          <w:rFonts w:ascii="Times New Roman" w:hAnsi="Times New Roman"/>
          <w:sz w:val="24"/>
        </w:rPr>
        <w:t>.    (a)    The payment obligations of the Counterparty under the Master Agreement and this Confirmation are not conditioned on the receipt of payments under the Notes and the Facility Agreement; [</w:t>
      </w:r>
      <w:r>
        <w:rPr>
          <w:rFonts w:ascii="Times New Roman" w:hAnsi="Times New Roman"/>
          <w:b/>
          <w:i/>
          <w:sz w:val="24"/>
        </w:rPr>
        <w:t>(b) notwithstanding any other provision of this Confirmation, in the event that the Trust (as assignee of Series Asset LLC and acting in accordance with the instructions of all the Lenders under Section 6.01 (a)(ix) of the Trust Agreement and Section 12.5 of the Facility Agreement) delivers a Put Notice with respect to any Applicable Payment Date, no Fixed Payment or Floating Payment shall be made hereunder on such Applicable Payment Date, but without prejudice to the payment obligations of the parties hereto on other Applicable Payment Dates; provided, however, if the Trust delivers the Principal Put Notice, then the Trust shall have irrevocably elected not to require or make (as applicable) any further Fixed Payments or Floating Payments hereunder on the second succeeding Applicable Payment Date following delivery of the Principal Put Notice and each Applicable Payment Date thereafter.] [ Delete if not applicable]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ind w:hanging="720" w:start="720"/>
        <w:jc w:val="start"/>
        <w:rPr>
          <w:rFonts w:ascii="Times New Roman" w:hAnsi="Times New Roman"/>
          <w:sz w:val="24"/>
        </w:rPr>
      </w:pPr>
      <w:r>
        <w:rPr>
          <w:rFonts w:ascii="Times New Roman" w:hAnsi="Times New Roman"/>
          <w:sz w:val="24"/>
        </w:rPr>
        <w:t>2.6</w:t>
        <w:tab/>
      </w:r>
      <w:r>
        <w:rPr>
          <w:rFonts w:ascii="Times New Roman" w:hAnsi="Times New Roman"/>
          <w:sz w:val="24"/>
          <w:u w:val="single"/>
        </w:rPr>
        <w:t>Account and Note Delivery Details</w:t>
      </w:r>
      <w:r>
        <w:rPr>
          <w:rFonts w:ascii="Times New Roman" w:hAnsi="Times New Roman"/>
          <w:sz w:val="24"/>
        </w:rPr>
        <w: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ind w:hanging="0" w:start="720"/>
        <w:jc w:val="start"/>
        <w:rPr>
          <w:rFonts w:ascii="Times New Roman" w:hAnsi="Times New Roman"/>
          <w:b/>
          <w:sz w:val="24"/>
        </w:rPr>
      </w:pPr>
      <w:r>
        <w:rPr>
          <w:rFonts w:ascii="Times New Roman" w:hAnsi="Times New Roman"/>
          <w:sz w:val="24"/>
        </w:rPr>
        <w:t>Account for Payments to the Trust:</w:t>
      </w:r>
    </w:p>
    <w:tbl>
      <w:tblPr>
        <w:tblW w:w="8008" w:type="dxa"/>
        <w:jc w:val="start"/>
        <w:tblInd w:w="750" w:type="dxa"/>
        <w:tblLayout w:type="fixed"/>
        <w:tblCellMar>
          <w:top w:w="0" w:type="dxa"/>
          <w:start w:w="120" w:type="dxa"/>
          <w:bottom w:w="0" w:type="dxa"/>
          <w:end w:w="120" w:type="dxa"/>
        </w:tblCellMar>
      </w:tblPr>
      <w:tblGrid>
        <w:gridCol w:w="2520"/>
        <w:gridCol w:w="269"/>
        <w:gridCol w:w="5219"/>
      </w:tblGrid>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Credit Bank:</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Wilmington Trust Company</w:t>
            </w:r>
          </w:p>
        </w:tc>
      </w:tr>
      <w:tr>
        <w:trPr>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Address:</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0"/>
              <w:ind w:hanging="0" w:start="0" w:end="0"/>
              <w:jc w:val="start"/>
              <w:rPr>
                <w:rFonts w:ascii="Times New Roman" w:hAnsi="Times New Roman"/>
                <w:sz w:val="24"/>
              </w:rPr>
            </w:pPr>
            <w:r>
              <w:rPr>
                <w:rFonts w:ascii="Times New Roman" w:hAnsi="Times New Roman"/>
                <w:sz w:val="24"/>
              </w:rPr>
              <w:t>Rodney Square North</w:t>
            </w:r>
          </w:p>
          <w:p>
            <w:pPr>
              <w:pStyle w:val="Normal"/>
              <w:keepNext w:val="true"/>
              <w:tabs>
                <w:tab w:val="clear" w:pos="720"/>
              </w:tabs>
              <w:bidi w:val="0"/>
              <w:spacing w:lineRule="auto" w:line="240" w:before="0" w:after="0"/>
              <w:ind w:hanging="0" w:start="0" w:end="0"/>
              <w:jc w:val="start"/>
              <w:rPr>
                <w:rFonts w:ascii="Times New Roman" w:hAnsi="Times New Roman"/>
                <w:sz w:val="24"/>
              </w:rPr>
            </w:pPr>
            <w:r>
              <w:rPr>
                <w:rFonts w:ascii="Times New Roman" w:hAnsi="Times New Roman"/>
                <w:sz w:val="24"/>
              </w:rPr>
              <w:t>1100 North Market Street</w:t>
            </w:r>
          </w:p>
          <w:p>
            <w:pPr>
              <w:pStyle w:val="Normal"/>
              <w:keepNext w:val="true"/>
              <w:tabs>
                <w:tab w:val="clear" w:pos="720"/>
              </w:tabs>
              <w:bidi w:val="0"/>
              <w:spacing w:lineRule="auto" w:line="240" w:before="0" w:after="43"/>
              <w:ind w:hanging="0" w:start="0" w:end="0"/>
              <w:jc w:val="start"/>
              <w:rPr/>
            </w:pPr>
            <w:r>
              <w:rPr>
                <w:rFonts w:ascii="Times New Roman" w:hAnsi="Times New Roman"/>
                <w:sz w:val="24"/>
              </w:rPr>
              <w:t>Wilmington, Delaware 19890-001</w:t>
            </w:r>
          </w:p>
        </w:tc>
      </w:tr>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ABA #:</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031-100-092</w:t>
            </w:r>
          </w:p>
        </w:tc>
      </w:tr>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Account No.:</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50509-0</w:t>
            </w:r>
          </w:p>
        </w:tc>
      </w:tr>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Attention:</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Corporate Trust Administration</w:t>
            </w:r>
          </w:p>
        </w:tc>
      </w:tr>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Reference:</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Hawaii I 125-0 Trust</w:t>
            </w:r>
          </w:p>
        </w:tc>
      </w:tr>
    </w:tbl>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4"/>
        </w:rPr>
      </w:pPr>
      <w:r>
        <w:rPr>
          <w:rFonts w:ascii="Times New Roman" w:hAnsi="Times New Roman"/>
          <w:sz w:val="24"/>
        </w:rPr>
        <w:t xml:space="preserve"> </w:t>
      </w:r>
      <w:r>
        <w:rPr>
          <w:rFonts w:ascii="Times New Roman" w:hAnsi="Times New Roman"/>
          <w:sz w:val="24"/>
        </w:rPr>
        <w:t>or to such other account or accounts as the Trust may direct in writing</w:t>
      </w:r>
      <w:r>
        <w:rPr>
          <w:rFonts w:ascii="Times New Roman" w:hAnsi="Times New Roman"/>
          <w:b/>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4320" w:start="5040"/>
        <w:jc w:val="start"/>
        <w:rPr>
          <w:rFonts w:ascii="Times New Roman" w:hAnsi="Times New Roman"/>
          <w:sz w:val="24"/>
        </w:rPr>
      </w:pPr>
      <w:r>
        <w:rPr>
          <w:rFonts w:ascii="Times New Roman" w:hAnsi="Times New Roman"/>
          <w:sz w:val="24"/>
        </w:rPr>
        <w:t>Account for Payments to the Counterparty:</w:t>
        <w:tab/>
        <w:t>Credit Bank:    Citibank</w:t>
      </w:r>
    </w:p>
    <w:p>
      <w:pPr>
        <w:pStyle w:val="Normal"/>
        <w:bidi w:val="0"/>
        <w:ind w:hanging="0" w:start="5040"/>
        <w:jc w:val="start"/>
        <w:rPr>
          <w:rFonts w:ascii="Times New Roman" w:hAnsi="Times New Roman"/>
          <w:sz w:val="24"/>
        </w:rPr>
      </w:pPr>
      <w:r>
        <w:rPr>
          <w:rFonts w:ascii="Times New Roman" w:hAnsi="Times New Roman"/>
          <w:sz w:val="24"/>
        </w:rPr>
        <w:t>ABA #:    021000089</w:t>
      </w:r>
    </w:p>
    <w:p>
      <w:pPr>
        <w:pStyle w:val="Normal"/>
        <w:bidi w:val="0"/>
        <w:ind w:hanging="0" w:start="5040"/>
        <w:jc w:val="start"/>
        <w:rPr>
          <w:rFonts w:ascii="Times New Roman" w:hAnsi="Times New Roman"/>
          <w:sz w:val="24"/>
        </w:rPr>
      </w:pPr>
      <w:r>
        <w:rPr>
          <w:rFonts w:ascii="Times New Roman" w:hAnsi="Times New Roman"/>
          <w:sz w:val="24"/>
        </w:rPr>
        <w:t>Account No.:    00076486</w:t>
      </w:r>
    </w:p>
    <w:p>
      <w:pPr>
        <w:pStyle w:val="Normal"/>
        <w:bidi w:val="0"/>
        <w:jc w:val="start"/>
        <w:rPr>
          <w:rFonts w:ascii="Times New Roman" w:hAnsi="Times New Roman"/>
          <w:sz w:val="24"/>
        </w:rPr>
      </w:pPr>
      <w:r>
        <w:rPr>
          <w:rFonts w:ascii="Times New Roman" w:hAnsi="Times New Roman"/>
          <w:sz w:val="24"/>
        </w:rPr>
        <w:tab/>
        <w:tab/>
        <w:tab/>
        <w:tab/>
        <w:tab/>
        <w:tab/>
        <w:tab/>
        <w:t>Reference:</w:t>
        <w:tab/>
        <w:t xml:space="preserve">Hawaii I 125-0 Trust </w:t>
      </w:r>
    </w:p>
    <w:p>
      <w:pPr>
        <w:pStyle w:val="Normal"/>
        <w:bidi w:val="0"/>
        <w:jc w:val="start"/>
        <w:rPr>
          <w:rFonts w:ascii="Times New Roman" w:hAnsi="Times New Roman"/>
          <w:sz w:val="24"/>
        </w:rPr>
      </w:pPr>
      <w:r>
        <w:rPr>
          <w:rFonts w:ascii="Times New Roman" w:hAnsi="Times New Roman"/>
          <w:sz w:val="24"/>
        </w:rPr>
        <w:tab/>
        <w:tab/>
        <w:tab/>
        <w:tab/>
        <w:tab/>
        <w:tab/>
        <w:tab/>
        <w:tab/>
        <w:tab/>
        <w:t xml:space="preserve">Series </w:t>
      </w:r>
      <w:r>
        <w:rPr>
          <w:rFonts w:ascii="Times New Roman" w:hAnsi="Times New Roman"/>
          <w:b/>
          <w:i/>
          <w:sz w:val="24"/>
        </w:rPr>
        <w:t>[name]</w:t>
      </w:r>
    </w:p>
    <w:p>
      <w:pPr>
        <w:pStyle w:val="Normal"/>
        <w:bidi w:val="0"/>
        <w:jc w:val="start"/>
        <w:rPr>
          <w:rFonts w:ascii="Times New Roman" w:hAnsi="Times New Roman"/>
          <w:sz w:val="24"/>
        </w:rPr>
      </w:pPr>
      <w:r>
        <w:rPr>
          <w:rFonts w:ascii="Times New Roman" w:hAnsi="Times New Roman"/>
          <w:sz w:val="24"/>
        </w:rPr>
      </w:r>
    </w:p>
    <w:p>
      <w:pPr>
        <w:pStyle w:val="Normal"/>
        <w:keepNext w:val="true"/>
        <w:keepLines/>
        <w:bidi w:val="0"/>
        <w:ind w:hanging="0" w:start="720"/>
        <w:jc w:val="start"/>
        <w:rPr>
          <w:rFonts w:ascii="Times New Roman" w:hAnsi="Times New Roman"/>
          <w:sz w:val="24"/>
        </w:rPr>
      </w:pPr>
      <w:r>
        <w:rPr>
          <w:rFonts w:ascii="Times New Roman" w:hAnsi="Times New Roman"/>
          <w:sz w:val="24"/>
        </w:rPr>
        <w:t xml:space="preserve">Address for Delivery of Notes to </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4320" w:start="5040"/>
        <w:jc w:val="start"/>
        <w:rPr>
          <w:rFonts w:ascii="Times New Roman" w:hAnsi="Times New Roman"/>
          <w:sz w:val="24"/>
        </w:rPr>
      </w:pPr>
      <w:r>
        <w:rPr>
          <w:rFonts w:ascii="Times New Roman" w:hAnsi="Times New Roman"/>
          <w:sz w:val="24"/>
        </w:rPr>
        <w:t>Counterparty:</w:t>
        <w:tab/>
        <w:tab/>
        <w:tab/>
        <w:tab/>
        <w:tab/>
        <w:t>Enron Corp.</w:t>
      </w:r>
    </w:p>
    <w:p>
      <w:pPr>
        <w:pStyle w:val="Normal"/>
        <w:keepNext w:val="true"/>
        <w:bidi w:val="0"/>
        <w:ind w:hanging="0" w:start="4320"/>
        <w:jc w:val="start"/>
        <w:rPr>
          <w:rFonts w:ascii="Times New Roman" w:hAnsi="Times New Roman"/>
          <w:sz w:val="24"/>
        </w:rPr>
      </w:pPr>
      <w:r>
        <w:rPr>
          <w:rFonts w:ascii="Times New Roman" w:hAnsi="Times New Roman"/>
          <w:sz w:val="24"/>
        </w:rPr>
        <w:t>Attn: Charles DeLacey</w:t>
      </w:r>
    </w:p>
    <w:p>
      <w:pPr>
        <w:pStyle w:val="Normal"/>
        <w:keepNext w:val="true"/>
        <w:bidi w:val="0"/>
        <w:ind w:hanging="0" w:start="5040"/>
        <w:jc w:val="start"/>
        <w:rPr>
          <w:rFonts w:ascii="Times New Roman" w:hAnsi="Times New Roman"/>
          <w:sz w:val="24"/>
        </w:rPr>
      </w:pPr>
      <w:r>
        <w:rPr>
          <w:rFonts w:ascii="Times New Roman" w:hAnsi="Times New Roman"/>
          <w:sz w:val="24"/>
        </w:rPr>
        <w:t>1400 Smith Street</w:t>
      </w:r>
    </w:p>
    <w:p>
      <w:pPr>
        <w:pStyle w:val="Normal"/>
        <w:keepNext w:val="true"/>
        <w:bidi w:val="0"/>
        <w:ind w:hanging="0" w:start="5040"/>
        <w:jc w:val="start"/>
        <w:rPr>
          <w:rFonts w:ascii="Times New Roman" w:hAnsi="Times New Roman"/>
          <w:sz w:val="24"/>
        </w:rPr>
      </w:pPr>
      <w:r>
        <w:rPr>
          <w:rFonts w:ascii="Times New Roman" w:hAnsi="Times New Roman"/>
          <w:sz w:val="24"/>
        </w:rPr>
        <w:t>Houston, Texas 77002</w:t>
      </w:r>
    </w:p>
    <w:p>
      <w:pPr>
        <w:pStyle w:val="Normal"/>
        <w:keepNext w:val="true"/>
        <w:bidi w:val="0"/>
        <w:jc w:val="start"/>
        <w:rPr>
          <w:rFonts w:ascii="Times New Roman" w:hAnsi="Times New Roman"/>
          <w:sz w:val="24"/>
        </w:rPr>
      </w:pPr>
      <w:r>
        <w:rPr>
          <w:rFonts w:ascii="Times New Roman" w:hAnsi="Times New Roman"/>
          <w:sz w:val="24"/>
        </w:rPr>
      </w:r>
    </w:p>
    <w:p>
      <w:pPr>
        <w:pStyle w:val="Normal"/>
        <w:keepLines/>
        <w:tabs>
          <w:tab w:val="left" w:pos="720" w:leader="none"/>
        </w:tabs>
        <w:bidi w:val="0"/>
        <w:ind w:hanging="720" w:start="720"/>
        <w:jc w:val="start"/>
        <w:rPr>
          <w:rFonts w:ascii="Times New Roman" w:hAnsi="Times New Roman"/>
          <w:sz w:val="24"/>
        </w:rPr>
      </w:pPr>
      <w:r>
        <w:rPr>
          <w:rFonts w:ascii="Times New Roman" w:hAnsi="Times New Roman"/>
          <w:sz w:val="24"/>
        </w:rPr>
        <w:t>3.</w:t>
        <w:tab/>
      </w:r>
      <w:r>
        <w:rPr>
          <w:rFonts w:ascii="Times New Roman" w:hAnsi="Times New Roman"/>
          <w:b/>
          <w:sz w:val="24"/>
          <w:u w:val="single"/>
        </w:rPr>
        <w:t>OTHER PROVISIONS</w:t>
      </w:r>
    </w:p>
    <w:p>
      <w:pPr>
        <w:pStyle w:val="Normal"/>
        <w:keepLines/>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3.1</w:t>
        <w:tab/>
      </w:r>
      <w:r>
        <w:rPr>
          <w:rFonts w:ascii="Times New Roman" w:hAnsi="Times New Roman"/>
          <w:sz w:val="24"/>
          <w:u w:val="single"/>
        </w:rPr>
        <w:t>Subrogation</w:t>
      </w:r>
      <w:r>
        <w:rPr>
          <w:rFonts w:ascii="Times New Roman" w:hAnsi="Times New Roman"/>
          <w:sz w:val="24"/>
        </w:rPr>
        <w:t>.    The Counterparty shall be subrogated to the rights of CIBC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rFonts w:ascii="Times New Roman" w:hAnsi="Times New Roman"/>
          <w:b/>
          <w:sz w:val="24"/>
        </w:rPr>
        <w:t xml:space="preserve"> </w:t>
      </w:r>
      <w:r>
        <w:rPr>
          <w:rFonts w:ascii="Times New Roman" w:hAnsi="Times New Roman"/>
          <w:sz w:val="24"/>
        </w:rPr>
        <w:t>the Trust under this Transaction or otherwise, until all principal, interest, fees, costs and other amounts due to</w:t>
      </w:r>
      <w:r>
        <w:rPr>
          <w:rFonts w:ascii="Times New Roman" w:hAnsi="Times New Roman"/>
          <w:b/>
          <w:sz w:val="24"/>
        </w:rPr>
        <w:t xml:space="preserve"> </w:t>
      </w:r>
      <w:r>
        <w:rPr>
          <w:rFonts w:ascii="Times New Roman" w:hAnsi="Times New Roman"/>
          <w:sz w:val="24"/>
        </w:rPr>
        <w:t>the Lenders</w:t>
      </w:r>
      <w:r>
        <w:rPr>
          <w:rFonts w:ascii="Times New Roman" w:hAnsi="Times New Roman"/>
          <w:b/>
          <w:sz w:val="24"/>
        </w:rPr>
        <w:t xml:space="preserve"> </w:t>
      </w:r>
      <w:r>
        <w:rPr>
          <w:rFonts w:ascii="Times New Roman" w:hAnsi="Times New Roman"/>
          <w:sz w:val="24"/>
        </w:rPr>
        <w:t>under the Notes and the Facility Agreement have been indefeasibly paid in full.</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3.2</w:t>
        <w:tab/>
      </w:r>
      <w:r>
        <w:rPr>
          <w:rFonts w:ascii="Times New Roman" w:hAnsi="Times New Roman"/>
          <w:sz w:val="24"/>
          <w:u w:val="single"/>
        </w:rPr>
        <w:t>Federal Tax Characterization and Reporting</w:t>
      </w:r>
      <w:r>
        <w:rPr>
          <w:rFonts w:ascii="Times New Roman" w:hAnsi="Times New Roman"/>
          <w:sz w:val="24"/>
        </w:rPr>
        <w:t xml:space="preserve">.    </w:t>
      </w:r>
      <w:r>
        <w:rPr>
          <w:rFonts w:ascii="Times New Roman" w:hAnsi="Times New Roman"/>
          <w:b/>
          <w:sz w:val="24"/>
        </w:rPr>
        <w:t>[If a Permitted Swap Party is the Counterparty]</w:t>
      </w:r>
      <w:r>
        <w:rPr>
          <w:rFonts w:ascii="Times New Roman" w:hAnsi="Times New Roman"/>
          <w:sz w:val="24"/>
        </w:rPr>
        <w:t xml:space="preserve"> It is the intention of the parties hereto and the parties hereto agree, for purposes of federal, state and local income and franchise taxes and any other tax imposed on or measured by income, that any payment by the Counterparty on the Floating Amount will be treated as a payment by the Counterparty of the obligations to make payments pursuant to Article 6, Article 7 and Article 8 of the Facility Agreement. The parties acknowledge that under Section 2.06(a) of the Trust Agreement it is the intention of the parties thereto for tax purposes that the transactions with respect to which this Confirmation is undertaken have been structured for the purpose of securing financing with the Asset LLC Interest, that the Trust constitutes a security device for the repayment of amounts due to the Lenders under the Facility Agreement and to the Series Certificate Holder under the Trust Agreement and that the Tranche with respect to the Series and the Series Certificate with respect to the Series constitute indebtedness of the Sponsor.    The parties agree that to the extent either of the parties is required to report any item of income, gain, loss, deduction or credit relating to the Transaction for purposes of federal, state and local income and franchise tax and any other tax imposed on or measured by income, such party shall report such item consistent with the characterization set forth above and shall not take any position on any tax return or report relating to income and franchise taxes which is inconsistent with such characterization.    The parties recognize that the manner in which they have agreed to characterize the Transaction for such tax purposes may be inconsistent with the manner in which the Transaction is characterized for accounting, regulatory or other purposes.    The provisions of this Section 3.2 are not intended to affect the manner in which the parties report the Transaction for such other purposes, or the interpretation of the provisions of this Confirmation and the rights and obligations of the parties arising hereunder, for any other purposes.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[If Enron is the Counterparty]</w:t>
      </w:r>
      <w:r>
        <w:rPr>
          <w:rFonts w:ascii="Times New Roman" w:hAnsi="Times New Roman"/>
          <w:sz w:val="24"/>
        </w:rPr>
        <w:t xml:space="preserve"> It is the intention of the parties hereto and the parties hereto agree, for purposes of federal, state and local income and franchise taxes and any other tax imposed on or measured by income, that (i) the Counterparty has entered into this Confirmation on behalf of and as agent for the Sponsor, (ii) the Lender to the Trust required, as a condition of making the Loan to the Trust, that the Sponsor arrange for Enron to enter into this Confirmation in lieu of a direct total return swap between the Sponsor and the Trust to serve as a credit enhancement to the transaction with the Lender, (iii) any payment by the Counterparty on the Floating Amount hereunder is to be reimbursed by the Sponsor under a total return swap confirmation of even date hereof between the Counterparty and the Sponsor (the “Sponsor Total Return Swap Confirmation”) and the Counterparty’s payment on the Floating Amount under this Confirmation will be treated as a payment, on behalf of the Sponsor, of the obligations to make payments pursuant to Article 6, Article 7 and Article 8 of the Facility Agreement, and (iv) any payment by the Trust on the Fixed Amount hereunder is to be transferred by the </w:t>
      </w:r>
      <w:ins w:id="21" w:author="">
        <w:r>
          <w:rPr>
            <w:rFonts w:ascii="Times New Roman" w:hAnsi="Times New Roman"/>
            <w:strike/>
            <w:sz w:val="24"/>
          </w:rPr>
          <w:t>Conterparty</w:t>
        </w:r>
      </w:ins>
      <w:r>
        <w:rPr>
          <w:rFonts w:ascii="Times New Roman" w:hAnsi="Times New Roman"/>
          <w:sz w:val="24"/>
        </w:rPr>
        <w:t xml:space="preserve"> </w:t>
      </w:r>
      <w:ins w:id="22" w:author="">
        <w:r>
          <w:rPr>
            <w:rFonts w:ascii="Times New Roman" w:hAnsi="Times New Roman"/>
            <w:b/>
            <w:sz w:val="24"/>
            <w:u w:val="double"/>
          </w:rPr>
          <w:t>Counterparty</w:t>
        </w:r>
      </w:ins>
      <w:r>
        <w:rPr>
          <w:rFonts w:ascii="Times New Roman" w:hAnsi="Times New Roman"/>
          <w:sz w:val="24"/>
        </w:rPr>
        <w:t xml:space="preserve">, as agent, to the Sponsor under the Sponsor Total Return Swap Confirmation.    The parties acknowledge that under Section 2.06(a) of the Trust Agreement it is the intention of the parties thereto for tax purposes that the transactions with respect to which this Confirmation and the Sponsor Total Return Swap Confirmation are undertaken have been structured for the purposes of securing financing with the Asset LLC Interest, that the Trust constitutes a security device for the repayment of amounts due to the Lenders under the Facility Agreement and to the Certificate Holder under the Trust Agreement and that the Notes and the Certificate constitute indebtedness of the Sponsor.    The parties agree that to the extent either of the parties is required to report any item of income, gain, loss, deduction or credit relating to the Transaction for purposes of federal, state and local income and franchise tax and any other tax imposed on or measured by income, such party shall report such item consistent with the characterization set forth above and shall not take any position on any tax return or report relating to income and franchise taxes which is inconsistent with such characterization.    The parties recognize that the manner in which they have agreed to characterize the Transaction for such tax purposes may be inconsistent with the manner in which the Transaction is characterized for other purposes. </w:t>
      </w:r>
    </w:p>
    <w:p>
      <w:pPr>
        <w:pStyle w:val="Normal"/>
        <w:bidi w:val="0"/>
        <w:ind w:hanging="0" w:start="72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3.3</w:t>
        <w:tab/>
      </w:r>
      <w:r>
        <w:rPr>
          <w:rFonts w:ascii="Times New Roman" w:hAnsi="Times New Roman"/>
          <w:sz w:val="24"/>
          <w:u w:val="single"/>
        </w:rPr>
        <w:t>No Petition</w:t>
      </w:r>
      <w:r>
        <w:rPr>
          <w:rFonts w:ascii="Times New Roman" w:hAnsi="Times New Roman"/>
          <w:sz w:val="24"/>
        </w:rPr>
        <w:t>.    Prior to the date that is one year and one day after any Early Termination Date, the Counterparty shall not institute against, or join any other person in instituting against</w:t>
      </w:r>
      <w:r>
        <w:rPr>
          <w:rFonts w:ascii="Times New Roman" w:hAnsi="Times New Roman"/>
          <w:b/>
          <w:sz w:val="24"/>
        </w:rPr>
        <w:t xml:space="preserve"> </w:t>
      </w:r>
      <w:r>
        <w:rPr>
          <w:rFonts w:ascii="Times New Roman" w:hAnsi="Times New Roman"/>
          <w:sz w:val="24"/>
        </w:rPr>
        <w:t>the Trust    any bankruptcy, reorganization, arrangement, insolvency or liquidation proceedings, or other proceedings under any federal or state bankruptcy or similar law.</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3.4</w:t>
        <w:tab/>
      </w:r>
      <w:r>
        <w:rPr>
          <w:rFonts w:ascii="Times New Roman" w:hAnsi="Times New Roman"/>
          <w:sz w:val="24"/>
          <w:u w:val="single"/>
        </w:rPr>
        <w:t>Optional Waiver of Rights</w:t>
      </w:r>
      <w:r>
        <w:rPr>
          <w:rFonts w:ascii="Times New Roman" w:hAnsi="Times New Roman"/>
          <w:sz w:val="24"/>
        </w:rPr>
        <w:t>.    Nothing in the Master Agreement or this Confirmation shall be construed to require the Trust to look to the Counterparty for payments hereunder.    If the Trust, acting at the direction of all the Lenders (as defined in the Facility Agreement), decides at any time prior to the Series Final Distribution Date not to enforce its rights under this Transaction in respect of any amount payable by the Counterparty to the Trust on any Payment Date hereunder, it shall notify the Counterparty promptly in writing of its decision, in which case the Counterparty and the Trust will not be required to make the Floating Payment and Fixed Payment required herein on such Payment Date.    Otherwise, on each Payment Date, the Counterparty and the Trust shall make the Floating Payment and Fixed Payment required hereunder.</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ind w:hanging="720" w:start="720"/>
        <w:jc w:val="start"/>
        <w:rPr>
          <w:rFonts w:ascii="Times New Roman" w:hAnsi="Times New Roman"/>
          <w:sz w:val="24"/>
        </w:rPr>
      </w:pPr>
      <w:r>
        <w:rPr>
          <w:rFonts w:ascii="Times New Roman" w:hAnsi="Times New Roman"/>
          <w:sz w:val="24"/>
        </w:rPr>
        <w:t>4.</w:t>
        <w:tab/>
      </w:r>
      <w:r>
        <w:rPr>
          <w:rFonts w:ascii="Times New Roman" w:hAnsi="Times New Roman"/>
          <w:b/>
          <w:sz w:val="24"/>
          <w:u w:val="single"/>
        </w:rPr>
        <w:t>EARLY TERMINATION</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Lines/>
        <w:bidi w:val="0"/>
        <w:ind w:hanging="0" w:start="720"/>
        <w:jc w:val="start"/>
        <w:rPr>
          <w:rFonts w:ascii="Times New Roman" w:hAnsi="Times New Roman"/>
          <w:sz w:val="24"/>
        </w:rPr>
      </w:pPr>
      <w:r>
        <w:rPr>
          <w:rFonts w:ascii="Times New Roman" w:hAnsi="Times New Roman"/>
          <w:sz w:val="24"/>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5.</w:t>
        <w:tab/>
      </w:r>
      <w:r>
        <w:rPr>
          <w:rFonts w:ascii="Times New Roman" w:hAnsi="Times New Roman"/>
          <w:b/>
          <w:sz w:val="24"/>
          <w:u w:val="single"/>
        </w:rPr>
        <w:t>LIMITATION OF LIABILITY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It is expressly understood and agreed that (a) this Confirmation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Confirmation.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[Remainder of page intentionally left blank]</w:t>
      </w:r>
    </w:p>
    <w:p>
      <w:pPr>
        <w:pStyle w:val="Normal"/>
        <w:bidi w:val="0"/>
        <w:jc w:val="start"/>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sectPr>
      </w:pPr>
    </w:p>
    <w:p>
      <w:pPr>
        <w:pStyle w:val="Normal"/>
        <w:bidi w:val="0"/>
        <w:jc w:val="start"/>
        <w:rPr>
          <w:rFonts w:ascii="Times New Roman" w:hAnsi="Times New Roman"/>
          <w:sz w:val="24"/>
        </w:rPr>
      </w:pPr>
      <w:r>
        <w:rPr>
          <w:rFonts w:ascii="Times New Roman" w:hAnsi="Times New Roman"/>
          <w:sz w:val="24"/>
        </w:rPr>
        <w:tab/>
        <w:t>Please confirm your agreement to be bound by the terms of the foregoing by executing the copy of this Confirmation enclosed for that purpose and returning it to us.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Accepted and confirmed as of the date first above written: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b/>
          <w:sz w:val="24"/>
        </w:rPr>
        <w:t>HAWAII I 125-0 TRUST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By:</w:t>
        <w:tab/>
        <w:t>Wilmington Trust Company,</w:t>
      </w:r>
    </w:p>
    <w:p>
      <w:pPr>
        <w:pStyle w:val="Normal"/>
        <w:bidi w:val="0"/>
        <w:ind w:hanging="0" w:start="720"/>
        <w:jc w:val="start"/>
        <w:rPr>
          <w:rFonts w:ascii="Times New Roman" w:hAnsi="Times New Roman"/>
          <w:sz w:val="24"/>
        </w:rPr>
      </w:pPr>
      <w:r>
        <w:rPr>
          <w:rFonts w:ascii="Times New Roman" w:hAnsi="Times New Roman"/>
          <w:sz w:val="24"/>
        </w:rPr>
        <w:t>not in its individual capacity,</w:t>
      </w:r>
    </w:p>
    <w:p>
      <w:pPr>
        <w:pStyle w:val="Normal"/>
        <w:bidi w:val="0"/>
        <w:ind w:hanging="0" w:start="720"/>
        <w:jc w:val="start"/>
        <w:rPr>
          <w:rFonts w:ascii="Times New Roman" w:hAnsi="Times New Roman"/>
          <w:sz w:val="24"/>
        </w:rPr>
      </w:pPr>
      <w:r>
        <w:rPr>
          <w:rFonts w:ascii="Times New Roman" w:hAnsi="Times New Roman"/>
          <w:sz w:val="24"/>
        </w:rPr>
        <w:t>but solely as Owner Trustee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t>[ENRON CORP./PERMITTED SWAP PARTY]</w:t>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i/>
          <w:i/>
          <w:sz w:val="24"/>
        </w:rPr>
      </w:pPr>
      <w:r>
        <w:rPr>
          <w:rFonts w:ascii="Times New Roman" w:hAnsi="Times New Roman"/>
          <w:b/>
          <w:i/>
          <w:sz w:val="24"/>
        </w:rPr>
        <w:t>[Add the following if Enron Corp. is not the Swap Counterparty]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i/>
          <w:i/>
          <w:sz w:val="24"/>
        </w:rPr>
      </w:pPr>
      <w:r>
        <w:rPr>
          <w:rFonts w:ascii="Times New Roman" w:hAnsi="Times New Roman"/>
          <w:b/>
          <w:i/>
          <w:sz w:val="24"/>
        </w:rPr>
        <w:t>[We hereby confirm that this is a confirmation to which the Enron Guaranty (as defined the Facility Agreement) will apply.</w:t>
      </w:r>
    </w:p>
    <w:p>
      <w:pPr>
        <w:pStyle w:val="Normal"/>
        <w:bidi w:val="0"/>
        <w:jc w:val="start"/>
        <w:rPr>
          <w:rFonts w:ascii="Times New Roman" w:hAnsi="Times New Roman"/>
          <w:b/>
          <w:i/>
          <w:i/>
          <w:sz w:val="24"/>
        </w:rPr>
      </w:pPr>
      <w:r>
        <w:rPr>
          <w:rFonts w:ascii="Times New Roman" w:hAnsi="Times New Roman"/>
          <w:b/>
          <w:i/>
          <w:sz w:val="24"/>
        </w:rPr>
      </w:r>
    </w:p>
    <w:p>
      <w:pPr>
        <w:pStyle w:val="Normal"/>
        <w:bidi w:val="0"/>
        <w:jc w:val="start"/>
        <w:rPr>
          <w:rFonts w:ascii="Times New Roman" w:hAnsi="Times New Roman"/>
          <w:b/>
          <w:i/>
          <w:i/>
          <w:sz w:val="24"/>
        </w:rPr>
      </w:pPr>
      <w:r>
        <w:rPr>
          <w:rFonts w:ascii="Times New Roman" w:hAnsi="Times New Roman"/>
          <w:b/>
          <w:i/>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b/>
          <w:i/>
          <w:i/>
          <w:sz w:val="24"/>
        </w:rPr>
      </w:pPr>
      <w:r>
        <w:rPr>
          <w:rFonts w:ascii="Times New Roman" w:hAnsi="Times New Roman"/>
          <w:b/>
          <w:i/>
          <w:sz w:val="24"/>
        </w:rPr>
        <w:tab/>
        <w:tab/>
        <w:tab/>
        <w:tab/>
        <w:tab/>
        <w:tab/>
        <w:t>Enron Corp.</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b/>
          <w:i/>
          <w:i/>
          <w:sz w:val="24"/>
        </w:rPr>
      </w:pPr>
      <w:r>
        <w:rPr>
          <w:rFonts w:ascii="Times New Roman" w:hAnsi="Times New Roman"/>
          <w:b/>
          <w:i/>
          <w:sz w:val="24"/>
        </w:rPr>
        <w:tab/>
        <w:tab/>
        <w:tab/>
        <w:tab/>
        <w:tab/>
        <w:tab/>
        <w:t>An Oregon Corporation</w:t>
      </w:r>
    </w:p>
    <w:p>
      <w:pPr>
        <w:pStyle w:val="Normal"/>
        <w:bidi w:val="0"/>
        <w:jc w:val="start"/>
        <w:rPr>
          <w:rFonts w:ascii="Times New Roman" w:hAnsi="Times New Roman"/>
          <w:b/>
          <w:i/>
          <w:i/>
          <w:sz w:val="24"/>
        </w:rPr>
      </w:pPr>
      <w:r>
        <w:rPr>
          <w:rFonts w:ascii="Times New Roman" w:hAnsi="Times New Roman"/>
          <w:b/>
          <w:i/>
          <w:sz w:val="24"/>
        </w:rPr>
      </w:r>
    </w:p>
    <w:p>
      <w:pPr>
        <w:pStyle w:val="Normal"/>
        <w:bidi w:val="0"/>
        <w:jc w:val="start"/>
        <w:rPr>
          <w:rFonts w:ascii="Times New Roman" w:hAnsi="Times New Roman"/>
          <w:b/>
          <w:i/>
          <w:i/>
          <w:sz w:val="24"/>
        </w:rPr>
      </w:pPr>
      <w:r>
        <w:rPr>
          <w:rFonts w:ascii="Times New Roman" w:hAnsi="Times New Roman"/>
          <w:b/>
          <w:i/>
          <w:sz w:val="24"/>
        </w:rPr>
      </w:r>
    </w:p>
    <w:p>
      <w:pPr>
        <w:pStyle w:val="Normal"/>
        <w:bidi w:val="0"/>
        <w:jc w:val="start"/>
        <w:rPr>
          <w:rFonts w:ascii="Times New Roman" w:hAnsi="Times New Roman"/>
          <w:b/>
          <w:i/>
          <w:i/>
          <w:sz w:val="24"/>
        </w:rPr>
      </w:pPr>
      <w:r>
        <w:rPr>
          <w:rFonts w:ascii="Times New Roman" w:hAnsi="Times New Roman"/>
          <w:b/>
          <w:i/>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b/>
          <w:i/>
          <w:i/>
          <w:sz w:val="24"/>
        </w:rPr>
      </w:pPr>
      <w:r>
        <w:rPr>
          <w:rFonts w:ascii="Times New Roman" w:hAnsi="Times New Roman"/>
          <w:b/>
          <w:i/>
          <w:sz w:val="24"/>
        </w:rPr>
        <w:tab/>
        <w:tab/>
        <w:tab/>
        <w:tab/>
        <w:tab/>
        <w:tab/>
        <w:t>By:</w:t>
      </w:r>
      <w:r>
        <w:rPr>
          <w:rFonts w:ascii="Times New Roman" w:hAnsi="Times New Roman"/>
          <w:b/>
          <w:i/>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b/>
          <w:i/>
          <w:i/>
          <w:sz w:val="24"/>
        </w:rPr>
      </w:pPr>
      <w:r>
        <w:rPr>
          <w:rFonts w:ascii="Times New Roman" w:hAnsi="Times New Roman"/>
          <w:b/>
          <w:i/>
          <w:sz w:val="24"/>
        </w:rPr>
        <w:tab/>
        <w:tab/>
        <w:tab/>
        <w:tab/>
        <w:tab/>
        <w:tab/>
        <w:t>Name:</w:t>
      </w:r>
      <w:r>
        <w:rPr>
          <w:rFonts w:ascii="Times New Roman" w:hAnsi="Times New Roman"/>
          <w:b/>
          <w:i/>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b/>
          <w:i/>
          <w:i/>
          <w:sz w:val="24"/>
        </w:rPr>
      </w:pPr>
      <w:r>
        <w:rPr>
          <w:rFonts w:ascii="Times New Roman" w:hAnsi="Times New Roman"/>
          <w:b/>
          <w:i/>
          <w:sz w:val="24"/>
        </w:rPr>
        <w:tab/>
        <w:tab/>
        <w:tab/>
        <w:tab/>
        <w:tab/>
        <w:tab/>
        <w:t>Title:</w:t>
      </w:r>
      <w:r>
        <w:rPr>
          <w:rFonts w:ascii="Times New Roman" w:hAnsi="Times New Roman"/>
          <w:b/>
          <w:i/>
          <w:sz w:val="24"/>
          <w:u w:val="single"/>
        </w:rPr>
        <w:tab/>
        <w:t>]</w:t>
      </w:r>
    </w:p>
    <w:p>
      <w:p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COMPARISON OF FOOTERS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1-</w:t>
      </w:r>
    </w:p>
    <w:p>
      <w:pPr>
        <w:pStyle w:val="Normal"/>
        <w:bidi w:val="0"/>
        <w:jc w:val="start"/>
        <w:rPr>
          <w:rFonts w:ascii="Times New Roman" w:hAnsi="Times New Roman"/>
          <w:sz w:val="24"/>
        </w:rPr>
      </w:pPr>
      <w:r>
        <w:rPr>
          <w:rFonts w:ascii="Times New Roman" w:hAnsi="Times New Roman"/>
          <w:sz w:val="24"/>
        </w:rPr>
        <w:t xml:space="preserve">DAL: </w:t>
      </w:r>
      <w:ins w:id="23" w:author="">
        <w:r>
          <w:rPr>
            <w:rFonts w:ascii="Times New Roman" w:hAnsi="Times New Roman"/>
            <w:strike/>
            <w:sz w:val="24"/>
          </w:rPr>
          <w:t>268741.3</w:t>
        </w:r>
      </w:ins>
      <w:r>
        <w:rPr>
          <w:rFonts w:ascii="Times New Roman" w:hAnsi="Times New Roman"/>
          <w:sz w:val="24"/>
        </w:rPr>
        <w:t xml:space="preserve"> </w:t>
      </w:r>
      <w:ins w:id="24" w:author="">
        <w:r>
          <w:rPr>
            <w:rFonts w:ascii="Times New Roman" w:hAnsi="Times New Roman"/>
            <w:b/>
            <w:sz w:val="24"/>
            <w:u w:val="double"/>
          </w:rPr>
          <w:t>268741.4</w:t>
        </w:r>
      </w:ins>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2-</w:t>
      </w:r>
    </w:p>
    <w:p>
      <w:pPr>
        <w:pStyle w:val="Normal"/>
        <w:bidi w:val="0"/>
        <w:jc w:val="start"/>
        <w:rPr>
          <w:rFonts w:ascii="Times New Roman" w:hAnsi="Times New Roman"/>
          <w:sz w:val="24"/>
        </w:rPr>
      </w:pPr>
      <w:r>
        <w:rPr>
          <w:rFonts w:ascii="Times New Roman" w:hAnsi="Times New Roman"/>
          <w:sz w:val="24"/>
        </w:rPr>
        <w:t>Project Hawaii II/Swap Confirmation - Signature Page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bidi w:val="0"/>
        <w:jc w:val="start"/>
        <w:rPr>
          <w:rFonts w:ascii="Times New Roman" w:hAnsi="Times New Roman"/>
          <w:sz w:val="24"/>
        </w:rPr>
      </w:pPr>
      <w:r>
        <w:rPr>
          <w:rFonts w:ascii="Times New Roman" w:hAnsi="Times New Roman"/>
          <w:sz w:val="24"/>
        </w:rPr>
        <w:t>original document      : C:\DOCUME~1\KRECC\LOCALS~1\TEMP\DAL_268741_3</w:t>
      </w:r>
    </w:p>
    <w:p>
      <w:pPr>
        <w:pStyle w:val="Normal"/>
        <w:bidi w:val="0"/>
        <w:jc w:val="start"/>
        <w:rPr>
          <w:rFonts w:ascii="Times New Roman" w:hAnsi="Times New Roman"/>
          <w:sz w:val="24"/>
        </w:rPr>
      </w:pPr>
      <w:r>
        <w:rPr>
          <w:rFonts w:ascii="Times New Roman" w:hAnsi="Times New Roman"/>
          <w:sz w:val="24"/>
        </w:rPr>
        <w:t>and revised document: C:\DOCUME~1\KRECC\LOCALS~1\TEMP\DAL_268741_4</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8 change(s) in the text</w:t>
      </w:r>
    </w:p>
    <w:p>
      <w:pPr>
        <w:pStyle w:val="Normal"/>
        <w:bidi w:val="0"/>
        <w:jc w:val="start"/>
        <w:rPr>
          <w:rFonts w:ascii="Times New Roman" w:hAnsi="Times New Roman"/>
          <w:sz w:val="24"/>
        </w:rPr>
      </w:pPr>
      <w:r>
        <w:rPr>
          <w:rFonts w:ascii="Times New Roman" w:hAnsi="Times New Roman"/>
          <w:sz w:val="24"/>
        </w:rPr>
        <w:t>CompareRite found        1 change(s) in the notes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even" r:id="rId5"/>
      <w:footerReference w:type="default" r:id="rId6"/>
      <w:footerReference w:type="first" r:id="rId7"/>
      <w:type w:val="nextPage"/>
      <w:pgSz w:w="12240" w:h="15840"/>
      <w:pgMar w:left="1440" w:right="1440" w:gutter="0" w:header="0" w:top="144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DAL:268741.4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II/Swap Confirmation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II/Swap Confirmation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