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HAWAII II 125-0 TRUST, SERIES McGARRET C</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pPr>
      <w:r>
        <w:rPr>
          <w:b/>
        </w:rPr>
        <w:tab/>
        <w:t xml:space="preserve">By its acceptance, directly or through a nominee, of this Series Certificate, the purchaser will be deemed </w:t>
      </w:r>
      <w:r>
        <w:rPr>
          <w:b/>
          <w:strike/>
          <w:color w:val="FF0000"/>
        </w:rPr>
        <w:t>(a)</w:t>
      </w:r>
      <w:r>
        <w:rPr>
          <w:b/>
        </w:rPr>
        <w:t xml:space="preserve">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HAWAII II 125-0 TRUST</w:t>
      </w:r>
    </w:p>
    <w:p>
      <w:pPr>
        <w:pStyle w:val="Normal"/>
        <w:widowControl/>
        <w:rPr/>
      </w:pPr>
      <w:r>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evidencing a fractional undivided interest in the Series, as defined below, the property of which includes, a Class B Membership Interest (the “Class B Interest”) in McGarret III, L.L.C., a limited liability company formed under the laws of the State of Delaware, representing 99.99% of the economic but none of the voting interest in such entity, and rights under a Transfer and Auction Agreement, dated as of August 31, 2000 (the “Transfer and Auction Agreement”), by and among the Hawaii II 125-0 Trust (the “Trust”) Big Island III, L.L.C. (the “Transferor”) and Enron Energy Services, LLC (the “Sponsor”).  The Final Distribution Date is scheduled to occur on November 16, 2002.</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$900,355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 Nine Hundred Thousand Three Hundred and Fifty-Five Dollars ($900,355)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headerReference w:type="first" r:id="rId12"/>
          <w:footerReference w:type="even" r:id="rId13"/>
          <w:footerReference w:type="default" r:id="rId14"/>
          <w:footerReference w:type="first" r:id="rId15"/>
          <w:type w:val="nextPage"/>
          <w:pgSz w:orient="landscape" w:w="12240" w:h="15840"/>
          <w:pgMar w:left="1440" w:right="1440" w:gutter="0" w:header="1440" w:top="1920"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COMPARISON OF FOOTERS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DAL: </w:t>
      </w:r>
      <w:r>
        <w:rPr>
          <w:strike/>
          <w:color w:val="FF0000"/>
        </w:rPr>
        <w:t>268675.1</w:t>
      </w:r>
      <w:r>
        <w:rPr/>
        <w:t xml:space="preserve"> </w:t>
      </w:r>
      <w:r>
        <w:rPr>
          <w:b/>
          <w:color w:val="FF0000"/>
          <w:u w:val="double"/>
        </w:rPr>
        <w:t>268675.2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Project Hawaii II (McGarret C)/Series Certificate of Beneficial Ownership - Signature Page</w:t>
      </w:r>
    </w:p>
    <w:p>
      <w:pPr>
        <w:sectPr>
          <w:type w:val="continuous"/>
          <w:pgSz w:orient="landscape" w:w="12240" w:h="15840"/>
          <w:pgMar w:left="1440" w:right="1440" w:gutter="0" w:header="1440" w:top="1920" w:footer="1440" w:bottom="186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C:\DOCUME~1\KRECC\LOCALS~1\TEMP\DAL_268675_1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C:\DOCUME~1\KRECC\LOCALS~1\TEMP\DAL_268675_2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headerReference w:type="even" r:id="rId16"/>
      <w:headerReference w:type="default" r:id="rId17"/>
      <w:footerReference w:type="even" r:id="rId18"/>
      <w:footerReference w:type="default" r:id="rId19"/>
      <w:type w:val="nextPage"/>
      <w:pgSz w:orient="landscape"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DAL:268675.2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DAL:268675.2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