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Cs w:val="24"/>
        </w:rPr>
      </w:pPr>
      <w:r>
        <w:rPr>
          <w:szCs w:val="24"/>
          <w:lang w:val="en-CA"/>
        </w:rPr>
      </w:r>
      <w:r>
        <w:rPr>
          <w:szCs w:val="24"/>
        </w:rPr>
        <w:t>[</w:t>
      </w:r>
      <w:r>
        <w:rPr>
          <w:b/>
          <w:bCs/>
          <w:szCs w:val="24"/>
        </w:rPr>
        <w:t>ENRON CORP. LETTERHEAD]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November 17, 2000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CIBC, Inc.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425 Lexington Ave.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New York, NY  10017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szCs w:val="24"/>
        </w:rPr>
      </w:pPr>
      <w:r>
        <w:rPr>
          <w:szCs w:val="24"/>
        </w:rPr>
        <w:t>Re:</w:t>
        <w:tab/>
      </w:r>
      <w:r>
        <w:rPr>
          <w:szCs w:val="24"/>
          <w:u w:val="single"/>
        </w:rPr>
        <w:t>Second Amended and Restated Trust Agreement of Hawaii II 125-0 Trust (formerly Hawaii 125-0 Trust) dated as of November 17, 2000 (the “Trust Agreement”)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Dear Sirs,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Capitalized terms used but not otherwise defined in this letter shall have the respective meanings given to such terms in the Trust Agreement.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Enron Corp. hereby understands that, at your written request, it will purchase (or will procure that another Person will purchase) any or all of the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registered in the name of CIBC, Inc. from time to time for a purchase price</w:t>
      </w:r>
      <w:r>
        <w:rPr>
          <w:b/>
          <w:bCs/>
          <w:szCs w:val="24"/>
          <w:u w:val="double"/>
        </w:rPr>
        <w:t>, payable in immediately available funds,</w:t>
      </w:r>
      <w:r>
        <w:rPr>
          <w:szCs w:val="24"/>
        </w:rPr>
        <w:t xml:space="preserve"> equal to the lesser of (1) the applicable Certificate Base Amount plus Certificate Yield accrued but unpaid thereon; and (2) the fair market value of the applicable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as at the date of purchase, to be determined by Enron Corp. acting reasonably and in good faith.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The closing of any sale and purchase of </w:t>
      </w:r>
      <w:r>
        <w:rPr>
          <w:strike/>
          <w:szCs w:val="24"/>
        </w:rPr>
        <w:t>Beneficial Interest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Series</w:t>
      </w:r>
      <w:r>
        <w:rPr>
          <w:szCs w:val="24"/>
        </w:rPr>
        <w:t xml:space="preserve"> Certificates hereunder shall take place no later than </w:t>
      </w:r>
      <w:r>
        <w:rPr>
          <w:strike/>
          <w:szCs w:val="24"/>
        </w:rPr>
        <w:t>[10] Business Days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75 days</w:t>
      </w:r>
      <w:r>
        <w:rPr>
          <w:szCs w:val="24"/>
        </w:rPr>
        <w:t xml:space="preserve"> after receipt by Enron Corp. of the written request referred to in the first paragraph of this letter.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The address for delivery of requests to Enron Corp. hereunder is: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Enron Corp.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1400 Smith Street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Houston, TX  77002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U.S.A.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ind w:hanging="2160" w:start="2160" w:end="0"/>
        <w:jc w:val="both"/>
        <w:rPr/>
      </w:pPr>
      <w:r>
        <w:rPr>
          <w:szCs w:val="24"/>
        </w:rPr>
        <w:tab/>
        <w:t>Attention:</w:t>
        <w:tab/>
        <w:t>[</w:t>
      </w:r>
      <w:r>
        <w:rPr>
          <w:szCs w:val="24"/>
          <w:u w:val="single"/>
        </w:rPr>
        <w:tab/>
        <w:tab/>
        <w:tab/>
      </w:r>
      <w:r>
        <w:rPr>
          <w:szCs w:val="24"/>
        </w:rPr>
        <w:t>]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ind w:hanging="2160" w:start="2160" w:end="0"/>
        <w:jc w:val="both"/>
        <w:rPr/>
      </w:pPr>
      <w:r>
        <w:rPr>
          <w:szCs w:val="24"/>
        </w:rPr>
        <w:tab/>
        <w:t>Facsimile:</w:t>
        <w:tab/>
        <w:t>[</w:t>
      </w:r>
      <w:r>
        <w:rPr>
          <w:szCs w:val="24"/>
          <w:u w:val="single"/>
        </w:rPr>
        <w:tab/>
        <w:tab/>
        <w:tab/>
      </w:r>
      <w:r>
        <w:rPr>
          <w:szCs w:val="24"/>
        </w:rPr>
        <w:t>]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This letter shall be governed by the laws of the State of </w:t>
      </w:r>
      <w:r>
        <w:rPr>
          <w:strike/>
          <w:szCs w:val="24"/>
        </w:rPr>
        <w:t>[</w:t>
      </w:r>
      <w:r>
        <w:rPr>
          <w:szCs w:val="24"/>
        </w:rPr>
        <w:t>Texas</w:t>
      </w:r>
      <w:r>
        <w:rPr>
          <w:strike/>
          <w:szCs w:val="24"/>
        </w:rPr>
        <w:t>]</w:t>
      </w:r>
      <w:r>
        <w:rPr>
          <w:szCs w:val="24"/>
        </w:rPr>
        <w:t>.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1440" w:top="2640" w:footer="360" w:bottom="41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>ENRON CORP.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rPr>
          <w:szCs w:val="24"/>
        </w:rPr>
      </w:pPr>
      <w:r>
        <w:rPr>
          <w:szCs w:val="24"/>
        </w:rPr>
        <w:t>By: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rPr>
          <w:szCs w:val="24"/>
        </w:rPr>
      </w:pPr>
      <w:r>
        <w:rPr>
          <w:szCs w:val="24"/>
        </w:rPr>
        <w:t>Name: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right" w:pos="5040" w:leader="none"/>
        </w:tabs>
        <w:rPr>
          <w:szCs w:val="24"/>
        </w:rPr>
      </w:pPr>
      <w:r>
        <w:rPr>
          <w:szCs w:val="24"/>
        </w:rPr>
        <w:t>Title:</w:t>
      </w:r>
      <w:r>
        <w:rPr>
          <w:szCs w:val="24"/>
          <w:u w:val="single"/>
        </w:rPr>
        <w:tab/>
        <w:tab/>
        <w:tab/>
        <w:tab/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sectPr>
          <w:type w:val="continuous"/>
          <w:pgSz w:w="12240" w:h="15840"/>
          <w:pgMar w:left="5760" w:right="1440" w:gutter="0" w:header="1440" w:top="1496" w:footer="360" w:bottom="416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440" w:right="1440" w:gutter="0" w:header="1440" w:top="1496" w:footer="360" w:bottom="416"/>
          <w:formProt w:val="false"/>
          <w:textDirection w:val="lrTb"/>
          <w:docGrid w:type="default" w:linePitch="360" w:charSpace="0"/>
        </w:sect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rPr>
          <w:szCs w:val="24"/>
        </w:rPr>
      </w:pPr>
      <w:r>
        <w:rPr>
          <w:szCs w:val="24"/>
        </w:rPr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>AGREED AND ACKNOWLEDGED: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>CIBC, INC.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>By: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rPr/>
      </w:pPr>
      <w:r>
        <w:rPr>
          <w:szCs w:val="24"/>
        </w:rPr>
        <w:t>Name: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>Title:</w:t>
      </w:r>
      <w:r>
        <w:rPr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------------------ COMPARISON OF HEADERS ------------------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-HEADER 1-</w:t>
      </w:r>
    </w:p>
    <w:p>
      <w:pPr>
        <w:pStyle w:val="Normal"/>
        <w:rPr>
          <w:szCs w:val="24"/>
        </w:rPr>
      </w:pPr>
      <w:r>
        <w:rPr>
          <w:szCs w:val="24"/>
        </w:rPr>
        <w:t>CIBC, Inc.</w:t>
      </w:r>
    </w:p>
    <w:p>
      <w:pPr>
        <w:pStyle w:val="Normal"/>
        <w:rPr>
          <w:szCs w:val="24"/>
        </w:rPr>
      </w:pPr>
      <w:r>
        <w:rPr>
          <w:szCs w:val="24"/>
        </w:rPr>
        <w:t>November 7, 2000</w:t>
      </w:r>
    </w:p>
    <w:p>
      <w:pPr>
        <w:pStyle w:val="Normal"/>
        <w:rPr>
          <w:szCs w:val="24"/>
        </w:rPr>
      </w:pPr>
      <w:r>
        <w:rPr>
          <w:szCs w:val="24"/>
        </w:rPr>
        <w:t>Page 1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------------------ COMPARISON OF FOOTERS ------------------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1-</w:t>
      </w:r>
    </w:p>
    <w:p>
      <w:pPr>
        <w:pStyle w:val="Normal"/>
        <w:rPr>
          <w:szCs w:val="24"/>
        </w:rPr>
      </w:pPr>
      <w:r>
        <w:rPr>
          <w:szCs w:val="24"/>
        </w:rPr>
        <w:t xml:space="preserve">DAL: </w:t>
      </w:r>
      <w:r>
        <w:rPr>
          <w:strike/>
          <w:szCs w:val="24"/>
        </w:rPr>
        <w:t>267979.1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267979.2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2-</w:t>
      </w:r>
    </w:p>
    <w:p>
      <w:pPr>
        <w:pStyle w:val="Normal"/>
        <w:rPr>
          <w:szCs w:val="24"/>
        </w:rPr>
      </w:pPr>
      <w:r>
        <w:rPr>
          <w:szCs w:val="24"/>
        </w:rPr>
        <w:t>Project Hawaii II/Letter Agreement Re: Equity Commitment Termination - Signature Page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  <w:t xml:space="preserve">This redlined draft, generated by CompareRite (TM) - The Instant Redliner, shows the differences between - </w:t>
      </w:r>
    </w:p>
    <w:p>
      <w:pPr>
        <w:pStyle w:val="Normal"/>
        <w:rPr>
          <w:szCs w:val="24"/>
        </w:rPr>
      </w:pPr>
      <w:r>
        <w:rPr>
          <w:szCs w:val="24"/>
        </w:rPr>
        <w:t>original document   : C:\DOCUME~1\MONTD\LOCALS~1\TEMP\DAL_267979_1</w:t>
      </w:r>
    </w:p>
    <w:p>
      <w:pPr>
        <w:pStyle w:val="Normal"/>
        <w:rPr>
          <w:szCs w:val="24"/>
        </w:rPr>
      </w:pPr>
      <w:r>
        <w:rPr>
          <w:szCs w:val="24"/>
        </w:rPr>
        <w:t>and revised document: C:\DOCUME~1\MONTD\LOCALS~1\TEMP\DAL_267979_2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CompareRite found    7 change(s) in the text</w:t>
      </w:r>
    </w:p>
    <w:p>
      <w:pPr>
        <w:pStyle w:val="Normal"/>
        <w:rPr>
          <w:szCs w:val="24"/>
        </w:rPr>
      </w:pPr>
      <w:r>
        <w:rPr>
          <w:szCs w:val="24"/>
        </w:rPr>
        <w:t>CompareRite found    1 change(s) in the notes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Deletions appear as Strikethrough text </w:t>
      </w:r>
    </w:p>
    <w:p>
      <w:pPr>
        <w:pStyle w:val="Normal"/>
        <w:rPr>
          <w:szCs w:val="24"/>
        </w:rPr>
      </w:pPr>
      <w:r>
        <w:rPr>
          <w:szCs w:val="24"/>
        </w:rPr>
        <w:t xml:space="preserve">Additions appear as Bold+Dbl Underline text </w:t>
      </w:r>
    </w:p>
    <w:p>
      <w:pPr>
        <w:pStyle w:val="BodyText"/>
        <w:spacing w:before="0" w:after="240"/>
        <w:rPr>
          <w:szCs w:val="24"/>
        </w:rPr>
      </w:pPr>
      <w:r>
        <w:rPr>
          <w:szCs w:val="24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89230" cy="2095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0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9pt;height:1.65pt;mso-wrap-distance-left:0pt;mso-wrap-distance-right:0pt;mso-wrap-distance-top:0pt;mso-wrap-distance-bottom:0pt;margin-top:0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0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DAL:267979.2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2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2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DAL:267979.2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3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3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DAL:267979.2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165" cy="175260"/>
              <wp:effectExtent l="0" t="0" r="0" b="0"/>
              <wp:wrapTopAndBottom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Cs w:val="24"/>
                            </w:rPr>
                            <w:t>-</w:t>
                          </w: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6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text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Cs w:val="24"/>
                      </w:rPr>
                      <w:t>-</w:t>
                    </w: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6</w:t>
                    </w:r>
                    <w:r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DAL:267979.2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  <w:t>CIBC, Inc.</w:t>
    </w:r>
  </w:p>
  <w:p>
    <w:pPr>
      <w:pStyle w:val="Normal"/>
      <w:jc w:val="both"/>
      <w:rPr>
        <w:szCs w:val="24"/>
      </w:rPr>
    </w:pPr>
    <w:r>
      <w:rPr>
        <w:szCs w:val="24"/>
      </w:rPr>
      <w:t>November 7, 2000</w:t>
    </w:r>
  </w:p>
  <w:p>
    <w:pPr>
      <w:pStyle w:val="Normal"/>
      <w:jc w:val="both"/>
      <w:rPr>
        <w:szCs w:val="24"/>
      </w:rPr>
    </w:pPr>
    <w:r>
      <w:rPr>
        <w:szCs w:val="24"/>
      </w:rPr>
      <w:t xml:space="preserve">Page </w:t>
    </w:r>
    <w:r>
      <w:rPr>
        <w:szCs w:val="24"/>
      </w:rPr>
      <w:fldChar w:fldCharType="begin"/>
    </w:r>
    <w:r>
      <w:rPr>
        <w:szCs w:val="24"/>
      </w:rPr>
      <w:instrText xml:space="preserve"> PAGE \* ARABIC </w:instrText>
    </w:r>
    <w:r>
      <w:rPr>
        <w:szCs w:val="24"/>
      </w:rPr>
      <w:fldChar w:fldCharType="separate"/>
    </w:r>
    <w:r>
      <w:rPr>
        <w:szCs w:val="24"/>
      </w:rPr>
      <w:t>0</w:t>
    </w:r>
    <w:r>
      <w:rPr>
        <w:szCs w:val="24"/>
      </w:rPr>
      <w:fldChar w:fldCharType="end"/>
    </w:r>
  </w:p>
  <w:p>
    <w:pPr>
      <w:pStyle w:val="Normal"/>
      <w:jc w:val="both"/>
      <w:rPr>
        <w:szCs w:val="24"/>
      </w:rPr>
    </w:pPr>
    <w:r>
      <w:rPr>
        <w:szCs w:val="24"/>
      </w:rPr>
    </w:r>
  </w:p>
  <w:p>
    <w:pPr>
      <w:pStyle w:val="Normal"/>
      <w:jc w:val="both"/>
      <w:rPr>
        <w:szCs w:val="24"/>
      </w:rPr>
    </w:pPr>
    <w:r>
      <w:rPr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Cs w:val="24"/>
      </w:rPr>
    </w:pPr>
    <w:r>
      <w:rPr>
        <w:szCs w:val="24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2000-11-15T14:57:00Z</dcterms:created>
  <dc:creator>A&amp;K</dc:creator>
  <dc:description/>
  <dc:language>en-CA</dc:language>
  <cp:lastModifiedBy>A&amp;K</cp:lastModifiedBy>
  <dcterms:modified xsi:type="dcterms:W3CDTF">2000-11-15T15:12:00Z</dcterms:modified>
  <cp:revision>1</cp:revision>
  <dc:subject/>
  <dc:title>[ENRON CORP</dc:title>
</cp:coreProperties>
</file>