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4"/>
        </w:rPr>
      </w:r>
      <w:r>
        <w:rPr>
          <w:b/>
          <w:sz w:val="24"/>
        </w:rPr>
        <w:t xml:space="preserve">DIRECTION LETTER TO OWNER TRUSTEE </w:t>
      </w:r>
    </w:p>
    <w:p>
      <w:pPr>
        <w:pStyle w:val="Normal"/>
        <w:widowControl/>
        <w:jc w:val="center"/>
        <w:rPr>
          <w:sz w:val="24"/>
        </w:rPr>
      </w:pPr>
      <w:r>
        <w:rPr>
          <w:b/>
          <w:sz w:val="24"/>
        </w:rPr>
        <w:t>OF HAWAII I 125-0 TRUST</w:t>
      </w:r>
    </w:p>
    <w:p>
      <w:pPr>
        <w:pStyle w:val="Normal"/>
        <w:widowControl/>
        <w:jc w:val="center"/>
        <w:rPr>
          <w:sz w:val="24"/>
        </w:rPr>
      </w:pPr>
      <w:r>
        <w:rPr>
          <w:sz w:val="24"/>
        </w:rPr>
      </w:r>
    </w:p>
    <w:p>
      <w:pPr>
        <w:pStyle w:val="Normal"/>
        <w:widowControl/>
        <w:jc w:val="center"/>
        <w:rPr>
          <w:sz w:val="24"/>
        </w:rPr>
      </w:pPr>
      <w:r>
        <w:rPr>
          <w:sz w:val="24"/>
        </w:rPr>
        <w:t>November 17, 2000</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Hawaii 125-0 Trust</w:t>
      </w:r>
    </w:p>
    <w:p>
      <w:pPr>
        <w:pStyle w:val="Normal"/>
        <w:widowControl/>
        <w:jc w:val="both"/>
        <w:rPr>
          <w:sz w:val="24"/>
        </w:rPr>
      </w:pPr>
      <w:r>
        <w:rPr>
          <w:sz w:val="24"/>
        </w:rPr>
        <w:t>c/o Wilmington Trust Company, as Owner Trustee</w:t>
      </w:r>
    </w:p>
    <w:p>
      <w:pPr>
        <w:pStyle w:val="Normal"/>
        <w:widowControl/>
        <w:jc w:val="both"/>
        <w:rPr>
          <w:sz w:val="24"/>
        </w:rPr>
      </w:pPr>
      <w:r>
        <w:rPr>
          <w:sz w:val="24"/>
        </w:rPr>
        <w:t>Rodney Square North</w:t>
      </w:r>
    </w:p>
    <w:p>
      <w:pPr>
        <w:pStyle w:val="Normal"/>
        <w:widowControl/>
        <w:jc w:val="both"/>
        <w:rPr>
          <w:sz w:val="24"/>
        </w:rPr>
      </w:pPr>
      <w:r>
        <w:rPr>
          <w:sz w:val="24"/>
        </w:rPr>
        <w:t>1100 North Market Street</w:t>
      </w:r>
    </w:p>
    <w:p>
      <w:pPr>
        <w:pStyle w:val="Normal"/>
        <w:widowControl/>
        <w:jc w:val="both"/>
        <w:rPr>
          <w:sz w:val="24"/>
        </w:rPr>
      </w:pPr>
      <w:r>
        <w:rPr>
          <w:sz w:val="24"/>
        </w:rPr>
        <w:t>Wilmington, Delaware 19890-001</w:t>
      </w:r>
    </w:p>
    <w:p>
      <w:pPr>
        <w:pStyle w:val="Normal"/>
        <w:widowControl/>
        <w:jc w:val="both"/>
        <w:rPr>
          <w:sz w:val="24"/>
        </w:rPr>
      </w:pPr>
      <w:r>
        <w:rPr>
          <w:sz w:val="24"/>
        </w:rPr>
        <w:t>Attn: Corporate Trust Department</w:t>
      </w:r>
    </w:p>
    <w:p>
      <w:pPr>
        <w:pStyle w:val="Normal"/>
        <w:widowControl/>
        <w:jc w:val="both"/>
        <w:rPr>
          <w:sz w:val="24"/>
        </w:rPr>
      </w:pPr>
      <w:r>
        <w:rPr>
          <w:sz w:val="24"/>
        </w:rPr>
      </w:r>
    </w:p>
    <w:p>
      <w:pPr>
        <w:pStyle w:val="Normal"/>
        <w:widowControl/>
        <w:jc w:val="both"/>
        <w:rPr>
          <w:sz w:val="24"/>
        </w:rPr>
      </w:pPr>
      <w:r>
        <w:rPr>
          <w:sz w:val="24"/>
        </w:rPr>
        <w:tab/>
        <w:t>Re:</w:t>
        <w:tab/>
        <w:t>Hawaii I 125-0 Trust (the “Trust”)</w:t>
      </w:r>
    </w:p>
    <w:p>
      <w:pPr>
        <w:pStyle w:val="Normal"/>
        <w:widowControl/>
        <w:jc w:val="both"/>
        <w:rPr>
          <w:sz w:val="24"/>
        </w:rPr>
      </w:pPr>
      <w:r>
        <w:rPr>
          <w:sz w:val="24"/>
        </w:rPr>
      </w:r>
    </w:p>
    <w:p>
      <w:pPr>
        <w:pStyle w:val="Normal"/>
        <w:widowControl/>
        <w:jc w:val="both"/>
        <w:rPr>
          <w:sz w:val="24"/>
        </w:rPr>
      </w:pPr>
      <w:r>
        <w:rPr>
          <w:sz w:val="24"/>
        </w:rPr>
        <w:t>Ladies and Gentlemen:</w:t>
      </w:r>
    </w:p>
    <w:p>
      <w:pPr>
        <w:pStyle w:val="Normal"/>
        <w:widowControl/>
        <w:jc w:val="both"/>
        <w:rPr>
          <w:sz w:val="24"/>
        </w:rPr>
      </w:pPr>
      <w:r>
        <w:rPr>
          <w:sz w:val="24"/>
        </w:rPr>
      </w:r>
    </w:p>
    <w:p>
      <w:pPr>
        <w:pStyle w:val="Normal"/>
        <w:widowControl/>
        <w:jc w:val="both"/>
        <w:rPr>
          <w:sz w:val="24"/>
        </w:rPr>
      </w:pPr>
      <w:r>
        <w:rPr>
          <w:sz w:val="24"/>
        </w:rPr>
        <w:tab/>
        <w:t>CIBC Inc. (“CIBC Inc.”) is the sole beneficial owner of the Hawaii I 125-0 Trust Certificate under the Trust Agreement dated November 17,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sz w:val="24"/>
        </w:rPr>
      </w:pPr>
      <w:r>
        <w:rPr>
          <w:sz w:val="24"/>
        </w:rPr>
      </w:r>
    </w:p>
    <w:p>
      <w:pPr>
        <w:pStyle w:val="Normal"/>
        <w:widowControl/>
        <w:jc w:val="both"/>
        <w:rPr>
          <w:sz w:val="24"/>
        </w:rPr>
      </w:pPr>
      <w:r>
        <w:rPr>
          <w:sz w:val="24"/>
        </w:rPr>
        <w:tab/>
        <w:t xml:space="preserve">(1) </w:t>
        <w:tab/>
      </w:r>
      <w:r>
        <w:rPr>
          <w:strike/>
          <w:color w:val="FF0000"/>
          <w:sz w:val="24"/>
        </w:rPr>
        <w:t>Hawaii I 125-0 Series Danno B Certificate</w:t>
      </w:r>
      <w:r>
        <w:rPr>
          <w:sz w:val="24"/>
        </w:rPr>
        <w:t xml:space="preserve"> </w:t>
      </w:r>
      <w:r>
        <w:rPr>
          <w:b/>
          <w:color w:val="FF0000"/>
          <w:sz w:val="24"/>
          <w:u w:val="double"/>
        </w:rPr>
        <w:t>Reimbursement and Disclosure Agreement</w:t>
      </w:r>
      <w:r>
        <w:rPr>
          <w:sz w:val="24"/>
        </w:rPr>
        <w:t xml:space="preserve">, dated November 17, 2000, </w:t>
      </w:r>
      <w:r>
        <w:rPr>
          <w:strike/>
          <w:color w:val="FF0000"/>
          <w:sz w:val="24"/>
        </w:rPr>
        <w:t>in the base amount of $342,857 issued in the name of CIBC Inc.;</w:t>
      </w:r>
      <w:r>
        <w:rPr>
          <w:sz w:val="24"/>
        </w:rPr>
        <w:t xml:space="preserve"> </w:t>
      </w:r>
      <w:r>
        <w:rPr>
          <w:b/>
          <w:color w:val="FF0000"/>
          <w:sz w:val="24"/>
          <w:u w:val="double"/>
        </w:rPr>
        <w:t>by and between the Trust, CIBC Inc. and Enron Corp.;</w:t>
      </w:r>
    </w:p>
    <w:p>
      <w:pPr>
        <w:pStyle w:val="Normal"/>
        <w:widowControl/>
        <w:jc w:val="both"/>
        <w:rPr>
          <w:sz w:val="24"/>
        </w:rPr>
      </w:pPr>
      <w:r>
        <w:rPr>
          <w:sz w:val="24"/>
        </w:rPr>
      </w:r>
    </w:p>
    <w:p>
      <w:pPr>
        <w:pStyle w:val="Normal"/>
        <w:widowControl/>
        <w:jc w:val="both"/>
        <w:rPr/>
      </w:pPr>
      <w:r>
        <w:rPr>
          <w:sz w:val="24"/>
        </w:rPr>
        <w:tab/>
      </w:r>
      <w:r>
        <w:rPr>
          <w:strike/>
          <w:color w:val="FF0000"/>
          <w:sz w:val="24"/>
        </w:rPr>
        <w:t>(2) Drawdown Request</w:t>
      </w:r>
      <w:r>
        <w:rPr>
          <w:b/>
          <w:color w:val="FF0000"/>
          <w:sz w:val="24"/>
          <w:u w:val="double"/>
        </w:rPr>
        <w:t>(2)</w:t>
        <w:tab/>
        <w:t>Distribution Agreement</w:t>
      </w:r>
      <w:r>
        <w:rPr>
          <w:sz w:val="24"/>
        </w:rPr>
        <w:t xml:space="preserve">, dated November 17, 2000, </w:t>
      </w:r>
      <w:r>
        <w:rPr>
          <w:strike/>
          <w:color w:val="FF0000"/>
          <w:sz w:val="24"/>
        </w:rPr>
        <w:t>requesting a drawdown of $11,085,703 under the Facility</w:t>
      </w:r>
      <w:r>
        <w:rPr>
          <w:sz w:val="24"/>
        </w:rPr>
        <w:t xml:space="preserve"> </w:t>
      </w:r>
      <w:r>
        <w:rPr>
          <w:b/>
          <w:color w:val="FF0000"/>
          <w:sz w:val="24"/>
          <w:u w:val="double"/>
        </w:rPr>
        <w:t>executed by the Trust.;</w:t>
      </w:r>
    </w:p>
    <w:p>
      <w:pPr>
        <w:pStyle w:val="Normal"/>
        <w:widowControl/>
        <w:jc w:val="both"/>
        <w:rPr>
          <w:b/>
          <w:color w:val="FF0000"/>
          <w:sz w:val="24"/>
          <w:u w:val="double"/>
        </w:rPr>
      </w:pPr>
      <w:r>
        <w:rPr>
          <w:b/>
          <w:color w:val="FF0000"/>
          <w:sz w:val="24"/>
          <w:u w:val="double"/>
        </w:rPr>
      </w:r>
    </w:p>
    <w:p>
      <w:pPr>
        <w:pStyle w:val="Normal"/>
        <w:widowControl/>
        <w:jc w:val="both"/>
        <w:rPr/>
      </w:pPr>
      <w:r>
        <w:rPr>
          <w:b/>
          <w:color w:val="FF0000"/>
          <w:sz w:val="24"/>
          <w:u w:val="double"/>
        </w:rPr>
        <w:tab/>
        <w:t>(3)</w:t>
        <w:tab/>
        <w:t>Subscription</w:t>
      </w:r>
      <w:r>
        <w:rPr>
          <w:sz w:val="24"/>
        </w:rPr>
        <w:t xml:space="preserve"> Agreement</w:t>
      </w:r>
      <w:r>
        <w:rPr>
          <w:strike/>
          <w:color w:val="FF0000"/>
          <w:sz w:val="24"/>
        </w:rPr>
        <w:t>;</w:t>
      </w:r>
    </w:p>
    <w:p>
      <w:pPr>
        <w:pStyle w:val="Normal"/>
        <w:widowControl/>
        <w:jc w:val="both"/>
        <w:rPr>
          <w:strike/>
          <w:color w:val="FF0000"/>
          <w:sz w:val="24"/>
        </w:rPr>
      </w:pPr>
      <w:r>
        <w:rPr>
          <w:strike/>
          <w:color w:val="FF0000"/>
          <w:sz w:val="24"/>
        </w:rPr>
      </w:r>
    </w:p>
    <w:p>
      <w:pPr>
        <w:pStyle w:val="Normal"/>
        <w:widowControl/>
        <w:jc w:val="both"/>
        <w:rPr>
          <w:sz w:val="24"/>
        </w:rPr>
      </w:pPr>
      <w:r>
        <w:rPr>
          <w:strike/>
          <w:color w:val="FF0000"/>
          <w:sz w:val="24"/>
        </w:rPr>
        <w:t>(3) Hawaii I 125-0 Trust Series Danno B Omnibus Amendment</w:t>
      </w:r>
      <w:r>
        <w:rPr>
          <w:sz w:val="24"/>
        </w:rPr>
        <w:t xml:space="preserve">, dated November 17, 2000, </w:t>
      </w:r>
      <w:r>
        <w:rPr>
          <w:strike/>
          <w:color w:val="FF0000"/>
          <w:sz w:val="24"/>
        </w:rPr>
        <w:t>executed by the Trust, the Hawaii 125-0 Trust, Enron Enrgy Services Operations Inc., Danno II, L.L.C., Maui II, L.L.C., Enron Corp. and Canadian Imperial Bank of Commerce;</w:t>
      </w:r>
      <w:r>
        <w:rPr>
          <w:sz w:val="24"/>
        </w:rPr>
        <w:t xml:space="preserve"> </w:t>
      </w:r>
      <w:r>
        <w:rPr>
          <w:b/>
          <w:color w:val="FF0000"/>
          <w:sz w:val="24"/>
          <w:u w:val="double"/>
        </w:rPr>
        <w:t>by and between the Trust, CIBC Inc., and Enron Corp.;</w:t>
      </w:r>
    </w:p>
    <w:p>
      <w:pPr>
        <w:pStyle w:val="Normal"/>
        <w:widowControl/>
        <w:jc w:val="both"/>
        <w:rPr>
          <w:sz w:val="24"/>
        </w:rPr>
      </w:pPr>
      <w:r>
        <w:rPr>
          <w:sz w:val="24"/>
        </w:rPr>
      </w:r>
    </w:p>
    <w:p>
      <w:pPr>
        <w:pStyle w:val="Normal"/>
        <w:widowControl/>
        <w:jc w:val="both"/>
        <w:rPr/>
      </w:pPr>
      <w:r>
        <w:rPr>
          <w:sz w:val="24"/>
        </w:rPr>
        <w:tab/>
      </w:r>
      <w:r>
        <w:rPr>
          <w:strike/>
          <w:color w:val="FF0000"/>
          <w:sz w:val="24"/>
        </w:rPr>
        <w:t>(4) Put Assignment</w:t>
      </w:r>
      <w:r>
        <w:rPr>
          <w:b/>
          <w:color w:val="FF0000"/>
          <w:sz w:val="24"/>
          <w:u w:val="double"/>
        </w:rPr>
        <w:t xml:space="preserve">(4) </w:t>
        <w:tab/>
        <w:t>ISDA Master Agreement between the Trust and Enron;</w:t>
      </w:r>
    </w:p>
    <w:p>
      <w:pPr>
        <w:pStyle w:val="Normal"/>
        <w:widowControl/>
        <w:jc w:val="both"/>
        <w:rPr>
          <w:b/>
          <w:color w:val="FF0000"/>
          <w:sz w:val="24"/>
          <w:u w:val="double"/>
        </w:rPr>
      </w:pPr>
      <w:r>
        <w:rPr>
          <w:b/>
          <w:color w:val="FF0000"/>
          <w:sz w:val="24"/>
          <w:u w:val="double"/>
        </w:rPr>
      </w:r>
    </w:p>
    <w:p>
      <w:pPr>
        <w:pStyle w:val="Normal"/>
        <w:widowControl/>
        <w:jc w:val="both"/>
        <w:rPr>
          <w:sz w:val="24"/>
        </w:rPr>
      </w:pPr>
      <w:r>
        <w:rPr>
          <w:b/>
          <w:color w:val="FF0000"/>
          <w:sz w:val="24"/>
          <w:u w:val="double"/>
        </w:rPr>
        <w:tab/>
        <w:t>(5)       Swap Schedule</w:t>
      </w:r>
      <w:r>
        <w:rPr>
          <w:sz w:val="24"/>
        </w:rPr>
        <w:t xml:space="preserve">, dated November 17, 2000, by </w:t>
      </w:r>
      <w:r>
        <w:rPr>
          <w:strike/>
          <w:color w:val="FF0000"/>
          <w:sz w:val="24"/>
        </w:rPr>
        <w:t>the Hawaii 125-0 Trust, in favor of the Trust, and consented and acknowledged by Danno II, L.L.C.;</w:t>
      </w:r>
      <w:r>
        <w:rPr>
          <w:sz w:val="24"/>
        </w:rPr>
        <w:t xml:space="preserve"> </w:t>
      </w:r>
      <w:r>
        <w:rPr>
          <w:b/>
          <w:color w:val="FF0000"/>
          <w:sz w:val="24"/>
          <w:u w:val="double"/>
        </w:rPr>
        <w:t>and between the Trust and Enron Corp.; and</w:t>
      </w:r>
    </w:p>
    <w:p>
      <w:pPr>
        <w:pStyle w:val="Normal"/>
        <w:widowControl/>
        <w:jc w:val="both"/>
        <w:rPr>
          <w:sz w:val="24"/>
        </w:rPr>
      </w:pPr>
      <w:r>
        <w:rPr>
          <w:sz w:val="24"/>
        </w:rPr>
      </w:r>
    </w:p>
    <w:p>
      <w:pPr>
        <w:pStyle w:val="Normal"/>
        <w:widowControl/>
        <w:jc w:val="both"/>
        <w:rPr/>
      </w:pPr>
      <w:r>
        <w:rPr>
          <w:sz w:val="24"/>
        </w:rPr>
        <w:tab/>
      </w:r>
      <w:r>
        <w:rPr>
          <w:strike/>
          <w:color w:val="FF0000"/>
          <w:sz w:val="24"/>
        </w:rPr>
        <w:t>(5) Notice of Put Assignment, dated November 17, 2000, executed by the Trust and acknowledged by Enron Energy Services Operations, Inc.;</w:t>
      </w:r>
    </w:p>
    <w:p>
      <w:pPr>
        <w:pStyle w:val="Normal"/>
        <w:widowControl/>
        <w:jc w:val="both"/>
        <w:rPr/>
      </w:pPr>
      <w:r>
        <w:rPr>
          <w:strike/>
          <w:color w:val="FF0000"/>
          <w:sz w:val="24"/>
        </w:rPr>
        <w:t>(6) B Interest Assignment</w:t>
      </w:r>
      <w:r>
        <w:rPr>
          <w:b/>
          <w:color w:val="FF0000"/>
          <w:sz w:val="24"/>
          <w:u w:val="double"/>
        </w:rPr>
        <w:t>(6)</w:t>
        <w:tab/>
        <w:t>Facility</w:t>
      </w:r>
      <w:r>
        <w:rPr>
          <w:sz w:val="24"/>
        </w:rPr>
        <w:t xml:space="preserve"> Agreement, dated as of November 17, 2000, by and between </w:t>
      </w:r>
      <w:r>
        <w:rPr>
          <w:b/>
          <w:color w:val="FF0000"/>
          <w:sz w:val="24"/>
          <w:u w:val="double"/>
        </w:rPr>
        <w:t>the Trust, CIBC, as the Agent, and the other financial institutions party thereto (the “Facility Agreement”) and each of the Notes issued pursuant thereto.</w:t>
      </w:r>
      <w:r>
        <w:rPr>
          <w:sz w:val="24"/>
        </w:rPr>
        <w:t xml:space="preserve"> </w:t>
      </w:r>
      <w:r>
        <w:rPr>
          <w:strike/>
          <w:color w:val="FF0000"/>
          <w:sz w:val="24"/>
        </w:rPr>
        <w:t>Hawaii 125-0 Trust and the Trust;</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(7) Receipt of Trust, dated November 17, 2000; and</w:t>
      </w:r>
    </w:p>
    <w:p>
      <w:pPr>
        <w:pStyle w:val="Normal"/>
        <w:widowControl/>
        <w:jc w:val="both"/>
        <w:rPr>
          <w:strike/>
          <w:color w:val="FF0000"/>
          <w:sz w:val="24"/>
        </w:rPr>
      </w:pPr>
      <w:r>
        <w:rPr>
          <w:strike/>
          <w:color w:val="FF0000"/>
          <w:sz w:val="24"/>
        </w:rPr>
      </w:r>
    </w:p>
    <w:p>
      <w:pPr>
        <w:pStyle w:val="Normal"/>
        <w:widowControl/>
        <w:jc w:val="both"/>
        <w:rPr>
          <w:sz w:val="24"/>
        </w:rPr>
      </w:pPr>
      <w:r>
        <w:rPr>
          <w:strike/>
          <w:color w:val="FF0000"/>
          <w:sz w:val="24"/>
        </w:rPr>
        <w:t>(8) Transfer and Auction Agreement, dated November 17, 2000, by and among Hawaii 125-0 Trust, Enron Energy Services Operations, Inc. and the Trust.</w:t>
      </w:r>
    </w:p>
    <w:p>
      <w:pPr>
        <w:pStyle w:val="Normal"/>
        <w:widowControl/>
        <w:jc w:val="both"/>
        <w:rPr>
          <w:sz w:val="24"/>
        </w:rPr>
      </w:pPr>
      <w:r>
        <w:rPr>
          <w:sz w:val="24"/>
        </w:rPr>
      </w:r>
    </w:p>
    <w:p>
      <w:pPr>
        <w:pStyle w:val="Normal"/>
        <w:widowControl/>
        <w:jc w:val="both"/>
        <w:rPr>
          <w:sz w:val="24"/>
        </w:rPr>
      </w:pPr>
      <w:r>
        <w:rPr>
          <w:sz w:val="24"/>
        </w:rPr>
        <w:tab/>
        <w:t>Capitalized terms used and not defined herein have the meanings set forth in the Trust Agreement.</w:t>
      </w:r>
    </w:p>
    <w:p>
      <w:pPr>
        <w:pStyle w:val="Normal"/>
        <w:widowControl/>
        <w:jc w:val="both"/>
        <w:rPr>
          <w:sz w:val="24"/>
        </w:rPr>
      </w:pPr>
      <w:r>
        <w:rPr>
          <w:strike/>
          <w:color w:val="FF0000"/>
          <w:sz w:val="24"/>
        </w:rPr>
        <w:t>[Remainder of Page Intentionally Left Blank]</w:t>
      </w:r>
      <w:r>
        <w:br w:type="page"/>
      </w:r>
    </w:p>
    <w:p>
      <w:pPr>
        <w:pStyle w:val="Normal"/>
        <w:widowControl/>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jc w:val="both"/>
        <w:rPr>
          <w:sz w:val="24"/>
        </w:rPr>
      </w:pPr>
      <w:r>
        <w:rPr>
          <w:sz w:val="24"/>
        </w:rPr>
        <w:tab/>
        <w:tab/>
        <w:tab/>
        <w:tab/>
        <w:tab/>
        <w:tab/>
        <w:t>Very truly yours,</w:t>
      </w:r>
    </w:p>
    <w:p>
      <w:pPr>
        <w:pStyle w:val="Normal"/>
        <w:widowControl/>
        <w:jc w:val="both"/>
        <w:rPr>
          <w:sz w:val="24"/>
        </w:rPr>
      </w:pPr>
      <w:r>
        <w:rPr>
          <w:sz w:val="24"/>
        </w:rPr>
      </w:r>
    </w:p>
    <w:p>
      <w:pPr>
        <w:pStyle w:val="Normal"/>
        <w:widowControl/>
        <w:jc w:val="both"/>
        <w:rPr>
          <w:sz w:val="24"/>
        </w:rPr>
      </w:pPr>
      <w:r>
        <w:rPr>
          <w:sz w:val="24"/>
        </w:rPr>
        <w:tab/>
        <w:tab/>
        <w:tab/>
        <w:tab/>
        <w:tab/>
        <w:tab/>
      </w:r>
      <w:r>
        <w:rPr>
          <w:b/>
          <w:sz w:val="24"/>
        </w:rPr>
        <w:t>CIBC INC.</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jc w:val="both"/>
        <w:rPr>
          <w:sz w:val="24"/>
        </w:rPr>
      </w:pPr>
      <w:r>
        <w:rPr>
          <w:sz w:val="24"/>
        </w:rPr>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Name:</w:t>
      </w:r>
      <w:r>
        <w:rPr>
          <w:sz w:val="24"/>
          <w:u w:val="single"/>
        </w:rPr>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tabs>
          <w:tab w:val="clear" w:pos="720"/>
          <w:tab w:val="right" w:pos="9360" w:leader="none"/>
        </w:tabs>
        <w:rPr>
          <w:sz w:val="24"/>
        </w:rPr>
      </w:pPr>
      <w:r>
        <w:rPr>
          <w:sz w:val="24"/>
        </w:rPr>
        <w:tab/>
        <w:tab/>
        <w:tab/>
        <w:tab/>
        <w:tab/>
        <w:tab/>
        <w:t>Title:</w:t>
      </w:r>
      <w:r>
        <w:rPr>
          <w:sz w:val="24"/>
          <w:u w:val="single"/>
        </w:rPr>
        <w:tab/>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267358.2</w:t>
      </w:r>
      <w:r>
        <w:rPr>
          <w:sz w:val="24"/>
        </w:rPr>
        <w:t xml:space="preserve"> </w:t>
      </w:r>
      <w:r>
        <w:rPr>
          <w:b/>
          <w:color w:val="FF0000"/>
          <w:sz w:val="24"/>
          <w:u w:val="double"/>
        </w:rPr>
        <w:t>267358.3</w:t>
      </w:r>
    </w:p>
    <w:p>
      <w:pPr>
        <w:pStyle w:val="Normal"/>
        <w:widowControl/>
        <w:rPr>
          <w:sz w:val="24"/>
        </w:rPr>
      </w:pPr>
      <w:r>
        <w:rPr>
          <w:sz w:val="24"/>
        </w:rPr>
      </w:r>
    </w:p>
    <w:p>
      <w:pPr>
        <w:pStyle w:val="Normal"/>
        <w:widowControl/>
        <w:rPr>
          <w:sz w:val="24"/>
        </w:rPr>
      </w:pPr>
      <w:r>
        <w:rPr>
          <w:sz w:val="24"/>
        </w:rPr>
        <w:t>-FOOTER 2-</w:t>
      </w:r>
    </w:p>
    <w:p>
      <w:pPr>
        <w:pStyle w:val="Normal"/>
        <w:widowControl/>
        <w:rPr/>
      </w:pPr>
      <w:r>
        <w:rPr>
          <w:sz w:val="24"/>
        </w:rPr>
        <w:t xml:space="preserve">Project Hawaii </w:t>
      </w:r>
      <w:r>
        <w:rPr>
          <w:strike/>
          <w:color w:val="FF0000"/>
          <w:sz w:val="24"/>
        </w:rPr>
        <w:t>(Danno B)/Direction</w:t>
      </w:r>
      <w:r>
        <w:rPr>
          <w:b/>
          <w:color w:val="FF0000"/>
          <w:sz w:val="24"/>
          <w:u w:val="double"/>
        </w:rPr>
        <w:t>/Direction Letter</w:t>
      </w:r>
      <w:r>
        <w:rPr>
          <w:sz w:val="24"/>
        </w:rPr>
        <w:t xml:space="preserve"> to Owner Trustee of Hawaii </w:t>
      </w:r>
      <w:r>
        <w:rPr>
          <w:b/>
          <w:color w:val="FF0000"/>
          <w:sz w:val="24"/>
          <w:u w:val="double"/>
        </w:rPr>
        <w:t>1</w:t>
      </w:r>
      <w:r>
        <w:rPr>
          <w:sz w:val="24"/>
        </w:rPr>
        <w:t xml:space="preserve"> 125-0 - Signature Page</w:t>
      </w:r>
    </w:p>
    <w:p>
      <w:pPr>
        <w:sectPr>
          <w:type w:val="continuous"/>
          <w:pgSz w:w="12240" w:h="15840"/>
          <w:pgMar w:left="1440" w:right="1440" w:gutter="0" w:header="1440" w:top="1496" w:footer="864" w:bottom="1284"/>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C:\DOCUME~1\KRECC\LOCALS~1\TEMP\DAL_267358_2</w:t>
      </w:r>
    </w:p>
    <w:p>
      <w:pPr>
        <w:pStyle w:val="Normal"/>
        <w:widowControl/>
        <w:rPr>
          <w:sz w:val="24"/>
        </w:rPr>
      </w:pPr>
      <w:r>
        <w:rPr>
          <w:sz w:val="24"/>
        </w:rPr>
        <w:t>and revised document: C:\DOCUME~1\KRECC\LOCALS~1\TEMP\DAL_267358_3</w:t>
      </w:r>
    </w:p>
    <w:p>
      <w:pPr>
        <w:pStyle w:val="Normal"/>
        <w:widowControl/>
        <w:rPr>
          <w:sz w:val="24"/>
        </w:rPr>
      </w:pPr>
      <w:r>
        <w:rPr>
          <w:sz w:val="24"/>
        </w:rPr>
      </w:r>
    </w:p>
    <w:p>
      <w:pPr>
        <w:pStyle w:val="Normal"/>
        <w:widowControl/>
        <w:rPr>
          <w:sz w:val="24"/>
        </w:rPr>
      </w:pPr>
      <w:r>
        <w:rPr>
          <w:sz w:val="24"/>
        </w:rPr>
        <w:t>CompareRite found   11 change(s) in the text</w:t>
      </w:r>
    </w:p>
    <w:p>
      <w:pPr>
        <w:pStyle w:val="Normal"/>
        <w:widowControl/>
        <w:rPr>
          <w:sz w:val="24"/>
        </w:rPr>
      </w:pPr>
      <w:r>
        <w:rPr>
          <w:sz w:val="24"/>
        </w:rPr>
        <w:t>CompareRite found    3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DAL:267358.3</w:t>
    </w:r>
  </w:p>
  <w:p>
    <w:pPr>
      <w:pStyle w:val="Normal"/>
      <w:widowControl/>
      <w:jc w:val="both"/>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DAL:267358.3</w:t>
    </w:r>
  </w:p>
  <w:p>
    <w:pPr>
      <w:pStyle w:val="Normal"/>
      <w:widowControl/>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DAL:267358.3</w:t>
    </w:r>
  </w:p>
  <w:p>
    <w:pPr>
      <w:pStyle w:val="Normal"/>
      <w:widowControl/>
      <w:jc w:val="both"/>
      <w:rPr/>
    </w:pPr>
    <w:r>
      <w:rPr/>
    </w:r>
  </w:p>
  <w:p>
    <w:pPr>
      <w:pStyle w:val="Normal"/>
      <w:widowControl/>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DAL:267358.3</w:t>
    </w:r>
  </w:p>
  <w:p>
    <w:pPr>
      <w:pStyle w:val="Normal"/>
      <w:widowControl/>
      <w:jc w:val="both"/>
      <w:rPr/>
    </w:pPr>
    <w:r>
      <w:rPr/>
    </w:r>
  </w:p>
  <w:p>
    <w:pPr>
      <w:pStyle w:val="Normal"/>
      <w:widowControl/>
      <w:spacing w:lineRule="atLeast" w:line="0" w:before="0" w:after="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9509760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