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p>
    <w:p>
      <w:pPr>
        <w:pStyle w:val="Normal"/>
        <w:widowControl/>
        <w:tabs>
          <w:tab w:val="clear" w:pos="720"/>
          <w:tab w:val="center" w:pos="4680" w:leader="none"/>
        </w:tabs>
        <w:jc w:val="both"/>
        <w:rPr/>
      </w:pPr>
      <w:r>
        <w:rPr>
          <w:sz w:val="24"/>
        </w:rPr>
        <w:tab/>
      </w:r>
      <w:bookmarkStart w:id="0" w:name="QuickMark_1"/>
      <w:bookmarkEnd w:id="0"/>
      <w:r>
        <w:rPr>
          <w:b/>
          <w:sz w:val="24"/>
        </w:rPr>
        <w:t>RECEIPT OF TRUST</w:t>
      </w:r>
      <w:r>
        <w:rPr>
          <w:sz w:val="24"/>
        </w:rPr>
        <w:t xml:space="preserve"> </w:t>
      </w:r>
    </w:p>
    <w:p>
      <w:pPr>
        <w:pStyle w:val="Normal"/>
        <w:widowControl/>
        <w:rPr>
          <w:sz w:val="24"/>
        </w:rPr>
      </w:pPr>
      <w:r>
        <w:rPr>
          <w:sz w:val="24"/>
        </w:rPr>
      </w:r>
    </w:p>
    <w:p>
      <w:pPr>
        <w:pStyle w:val="Normal"/>
        <w:widowControl/>
        <w:rPr>
          <w:sz w:val="24"/>
        </w:rPr>
      </w:pPr>
      <w:r>
        <w:rPr>
          <w:sz w:val="24"/>
        </w:rPr>
      </w:r>
    </w:p>
    <w:p>
      <w:pPr>
        <w:pStyle w:val="Normal"/>
        <w:widowControl/>
        <w:rPr/>
      </w:pPr>
      <w:r>
        <w:rPr>
          <w:sz w:val="24"/>
        </w:rPr>
        <w:tab/>
        <w:t xml:space="preserve">Hawaii II 125-0 Trust, a Delaware business trust (the “Trust”), hereby acknowledges receipt of the amount of </w:t>
      </w:r>
      <w:r>
        <w:rPr>
          <w:b/>
          <w:color w:val="FF0000"/>
          <w:sz w:val="24"/>
          <w:u w:val="double"/>
        </w:rPr>
        <w:t>(i)</w:t>
      </w:r>
      <w:r>
        <w:rPr>
          <w:sz w:val="24"/>
        </w:rPr>
        <w:t xml:space="preserve"> $145,192,452 received from Canadian Imperial Bank of Commerce in its capacity as Agent (the “Agent”) under that certain Facility Agreement dated November 17, 2000 and made between the Trust, the Agent and the other financial institutions party thereto, representing the funds advanced to the Trust on the date hereof </w:t>
      </w:r>
      <w:r>
        <w:rPr>
          <w:b/>
          <w:color w:val="FF0000"/>
          <w:sz w:val="24"/>
          <w:u w:val="double"/>
        </w:rPr>
        <w:t>and (ii) the amount of $766,156.19 received from Enron Corp., representing the aggregate net amount due from Enron Corp. to the Trust on the date hereof pursuant to the Total Return Swap Agreement and related Schedule and confirmations between the Trust and Enron Corp</w:t>
      </w:r>
      <w:r>
        <w:rPr>
          <w:sz w:val="24"/>
        </w:rPr>
        <w: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Dated: November 17, 2000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i/>
          <w:sz w:val="24"/>
        </w:rPr>
        <w:t>[Signature Page Follows]</w:t>
      </w:r>
    </w:p>
    <w:p>
      <w:pPr>
        <w:pStyle w:val="Normal"/>
        <w:widowControl/>
        <w:rPr>
          <w:sz w:val="24"/>
        </w:rPr>
      </w:pPr>
      <w:r>
        <w:rPr>
          <w:sz w:val="24"/>
        </w:rPr>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576" w:bottom="1056"/>
          <w:pgNumType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sectPr>
          <w:type w:val="continuous"/>
          <w:pgSz w:w="12240" w:h="15840"/>
          <w:pgMar w:left="1440" w:right="1440" w:gutter="0" w:header="1440" w:top="1496" w:footer="576" w:bottom="1056"/>
          <w:formProt w:val="false"/>
          <w:textDirection w:val="lrTb"/>
          <w:docGrid w:type="default" w:linePitch="360" w:charSpace="0"/>
        </w:sectPr>
      </w:pPr>
    </w:p>
    <w:p>
      <w:pPr>
        <w:pStyle w:val="Normal"/>
        <w:widowControl/>
        <w:ind w:end="0"/>
        <w:rPr>
          <w:sz w:val="24"/>
        </w:rPr>
      </w:pPr>
      <w:r>
        <w:rPr>
          <w:b/>
          <w:sz w:val="24"/>
        </w:rPr>
        <w:t>HAWAII II 125-0 TRUST</w:t>
      </w:r>
    </w:p>
    <w:p>
      <w:pPr>
        <w:pStyle w:val="Normal"/>
        <w:widowControl/>
        <w:rPr>
          <w:sz w:val="24"/>
        </w:rPr>
      </w:pPr>
      <w:r>
        <w:rPr>
          <w:sz w:val="24"/>
        </w:rPr>
      </w:r>
    </w:p>
    <w:p>
      <w:pPr>
        <w:pStyle w:val="Normal"/>
        <w:widowControl/>
        <w:ind w:hanging="720" w:start="720" w:end="0"/>
        <w:rPr>
          <w:sz w:val="24"/>
        </w:rPr>
      </w:pPr>
      <w:r>
        <w:rPr>
          <w:b/>
          <w:sz w:val="24"/>
        </w:rPr>
        <w:t>By:</w:t>
        <w:tab/>
        <w:t>Wilmington Trust Company,</w:t>
      </w:r>
    </w:p>
    <w:p>
      <w:pPr>
        <w:pStyle w:val="Normal"/>
        <w:widowControl/>
        <w:ind w:hanging="4320" w:start="4320" w:end="0"/>
        <w:rPr>
          <w:sz w:val="24"/>
        </w:rPr>
      </w:pPr>
      <w:r>
        <w:rPr>
          <w:sz w:val="24"/>
        </w:rPr>
        <w:tab/>
        <w:t>not in its individual capacity, but</w:t>
        <w:tab/>
      </w:r>
    </w:p>
    <w:p>
      <w:pPr>
        <w:pStyle w:val="Normal"/>
        <w:widowControl/>
        <w:rPr>
          <w:sz w:val="24"/>
        </w:rPr>
      </w:pPr>
      <w:r>
        <w:rPr>
          <w:sz w:val="24"/>
        </w:rPr>
        <w:tab/>
        <w:t>solely as Owner Trustee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5040" w:leader="none"/>
        </w:tabs>
        <w:rPr>
          <w:sz w:val="24"/>
        </w:rPr>
      </w:pPr>
      <w:r>
        <w:rPr>
          <w:sz w:val="24"/>
        </w:rPr>
        <w:tab/>
        <w:t>By:</w:t>
      </w:r>
      <w:r>
        <w:rPr>
          <w:sz w:val="24"/>
          <w:u w:val="single"/>
        </w:rPr>
        <w:tab/>
      </w:r>
    </w:p>
    <w:p>
      <w:pPr>
        <w:pStyle w:val="Normal"/>
        <w:widowControl/>
        <w:tabs>
          <w:tab w:val="clear" w:pos="720"/>
          <w:tab w:val="right" w:pos="5040" w:leader="none"/>
        </w:tabs>
        <w:rPr>
          <w:sz w:val="24"/>
        </w:rPr>
      </w:pPr>
      <w:r>
        <w:rPr>
          <w:sz w:val="24"/>
        </w:rPr>
        <w:tab/>
        <w:t>Name:</w:t>
      </w:r>
      <w:r>
        <w:rPr>
          <w:sz w:val="24"/>
          <w:u w:val="single"/>
        </w:rPr>
        <w:tab/>
      </w:r>
    </w:p>
    <w:p>
      <w:pPr>
        <w:pStyle w:val="Normal"/>
        <w:widowControl/>
        <w:tabs>
          <w:tab w:val="clear" w:pos="720"/>
          <w:tab w:val="right" w:pos="5040" w:leader="none"/>
        </w:tabs>
        <w:rPr>
          <w:sz w:val="24"/>
        </w:rPr>
      </w:pPr>
      <w:r>
        <w:rPr>
          <w:sz w:val="24"/>
        </w:rPr>
        <w:tab/>
        <w:t>Title:</w:t>
      </w:r>
      <w:r>
        <w:rPr>
          <w:sz w:val="24"/>
          <w:u w:val="single"/>
        </w:rPr>
        <w:tab/>
      </w:r>
    </w:p>
    <w:p>
      <w:pPr>
        <w:pStyle w:val="Normal"/>
        <w:widowControl/>
        <w:rPr>
          <w:sz w:val="24"/>
        </w:rPr>
      </w:pPr>
      <w:r>
        <w:rPr>
          <w:sz w:val="24"/>
        </w:rPr>
      </w:r>
    </w:p>
    <w:p>
      <w:pPr>
        <w:pStyle w:val="Normal"/>
        <w:widowControl/>
        <w:rPr>
          <w:sz w:val="24"/>
        </w:rPr>
      </w:pPr>
      <w:r>
        <w:rPr>
          <w:sz w:val="24"/>
        </w:rPr>
      </w:r>
    </w:p>
    <w:p>
      <w:pPr>
        <w:sectPr>
          <w:type w:val="continuous"/>
          <w:pgSz w:w="12240" w:h="15840"/>
          <w:pgMar w:left="5760" w:right="1440" w:gutter="0" w:header="1440" w:top="1496" w:footer="576" w:bottom="1056"/>
          <w:formProt w:val="false"/>
          <w:textDirection w:val="lrTb"/>
          <w:docGrid w:type="default" w:linePitch="360" w:charSpace="0"/>
        </w:sectPr>
      </w:pPr>
    </w:p>
    <w:p>
      <w:pPr>
        <w:sectPr>
          <w:type w:val="continuous"/>
          <w:pgSz w:w="12240" w:h="15840"/>
          <w:pgMar w:left="1440" w:right="1440" w:gutter="0" w:header="1440" w:top="1496" w:footer="576" w:bottom="1056"/>
          <w:formProt w:val="false"/>
          <w:textDirection w:val="lrTb"/>
          <w:docGrid w:type="default" w:linePitch="360" w:charSpace="0"/>
        </w:sectPr>
        <w:pStyle w:val="Normal"/>
        <w:widowControl/>
        <w:ind w:end="0"/>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C:\DOCUME~1\WYLIJ\LOCALS~1\TEMP\DAL_267321_3</w:t>
      </w:r>
    </w:p>
    <w:p>
      <w:pPr>
        <w:pStyle w:val="Normal"/>
        <w:widowControl/>
        <w:rPr>
          <w:sz w:val="24"/>
        </w:rPr>
      </w:pPr>
      <w:r>
        <w:rPr>
          <w:sz w:val="24"/>
        </w:rPr>
        <w:t>and revised document: C:\DOCUME~1\WYLIJ\LOCALS~1\TEMP\DAL_267321_4</w:t>
      </w:r>
    </w:p>
    <w:p>
      <w:pPr>
        <w:pStyle w:val="Normal"/>
        <w:widowControl/>
        <w:rPr>
          <w:sz w:val="24"/>
        </w:rPr>
      </w:pPr>
      <w:r>
        <w:rPr>
          <w:sz w:val="24"/>
        </w:rPr>
      </w:r>
    </w:p>
    <w:p>
      <w:pPr>
        <w:pStyle w:val="Normal"/>
        <w:widowControl/>
        <w:rPr>
          <w:sz w:val="24"/>
        </w:rPr>
      </w:pPr>
      <w:r>
        <w:rPr>
          <w:sz w:val="24"/>
        </w:rPr>
        <w:t>CompareRite found    2 change(s) in the text</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6"/>
      <w:headerReference w:type="default" r:id="rId7"/>
      <w:footerReference w:type="even" r:id="rId8"/>
      <w:footerReference w:type="default" r:id="rId9"/>
      <w:type w:val="nextPage"/>
      <w:pgSz w:w="12240" w:h="15840"/>
      <w:pgMar w:left="1440" w:right="1440" w:gutter="0" w:header="1440" w:top="1920" w:footer="576" w:bottom="11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DAL:267321.4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DAL:267321.4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