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filename=267271.doc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Hawaii II 125-0\par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Series Danno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Omnibus Amendment}{\plain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Omnibus Amendment (this {\u8220\'93} }{\plain \fs24 \ul Amendment}{\plain \fs24 {\u8221\'94}) is made the 20th day of November, 2000,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Hawaii II 125-0 Trust, a Delaware business trust  (f/k/a Hawaii 125-0 Trust), (the {\u8220\'93}}{\plain \fs24 \ul Trust}{\plain \fs24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Energy Services Operations, Inc., a Delaware corporation (the {\u8220\'93}}{\plain \fs24 \ul Sponsor}{\plain \fs24 {\u8221\'94}), Danno II, L.L.C.,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Delaware limited liability company ({\u8220\'93}}{\plain \fs24 \ul Danno II}{\plain \fs24 {\u8221\'94}), Maui II, L.L.C., a Delaware limited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({\u8220\'93}}{\plain \fs24 \ul Maui II}{\plain \fs24 {\u8221\'94}), Enron Corp., an Oregon corporation ({\u8220\'93}Enron{\u8221\'94}) and Canadian Imperial Bank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Commerce, in its capacity as agent under that certain Facility Agreement dated March\~31,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such agreement was amended and restated on May 31, 2000, in each case, executed by the Trust,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Canadian Imperial Bank of Commerce and the other financial institutions party thereto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Recitals}{\plain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A.\tab The Sponsor and Danno II have entered into that certain Put Option Agreement 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15, 2000 (the {\u8220\'93}}{\plain \fs24 \ul Put Option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B.\tab The Sponsor and the Trust have entered into}{\plain \fs24 \b\uldb\revised ,}{\plain \fs24  and Maui II has acknowledged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agreed to, that certain Second Amended and Restated Limited Liability Company Agreement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Danno II dated as of June 15, 2000 (the {\u8220\'93}}{\plain \fs24 \ul Danno II 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C.\tab The Sponsor has executed that certain }{\plain \fs24 \b\uldb\revised Second}{\plain \fs24  Amended and Restated Limited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Company Agreement of Maui II dated as of June 15, 2000 (the {\u8220\'93}}{\plain \fs24 \ul Maui II 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D.\tab The Trust and the Sponsor have entered into that certain Sale and Auction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June 15, 2000 (the {\u8220\'93}}{\plain \fs24 \ul Sale and Auction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E.\tab Enron and the Trust have entered into that certain ISDA Master Agreement dated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March 31, 2000, together with the Schedule thereto dated as of March 31, 2000, and the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(the {\u8220\'93}Total Return Swap Confirmation{\u8221\'94}) dated as of June 15,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 is now the intention of the parties hereto to amend the documents referred to above as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this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Operative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}{\plain \fs24 \b\ul Amendment of Put Option Agreement}{\plain \fs24 .  The Sponsor, Danno II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amend the Put Option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The definition of {\u8220\'93}Facility Agreement{\u8221\'94} in Section\~1 of the Put Option \tab Agreement is hereby deleted 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}{\plain \fs24 \b\ul Amendment of Danno II L.L.C. Agreement}{\plain \fs24 \b . 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Sponsor, in its capacity as the Managing Member of Danno II,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Danno\~II LLC Agreement, and the Trust, as the Class B Member, and the Agent hereby consent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amendments,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{\u8220\'93}Series Certificate{\u8221\'94} is hereby deleted in its entirety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issued by the Trust with respect to Series Danno B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definition of {\u8220\'93}Tranche{\u8221\'94} in Section 1.01 is hereby deleted in its entirety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Tranche - The Tranche, as defined under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drawn down on November 20, 2000, with respect to the Asset.}{\plain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There is hereby added to Section 1.01 the following additional definition:\par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Agent - As defined in the Facility Agreement.}{\plain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Section 2.04 is hereby deemed amended to permit Danno II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3.\tab }{\plain \fs24 \b\ul Amendment of Maui II, L.L.C. Agreement}{\plain \fs24 \b .  }{\plain \fs24 The Sponsor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Maui\~II LLC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 new definition is hereby added to Section 1.01:\par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Danno B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Section 2.04 is hereby deemed amended to permit Maui II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}{\plain \fs24 \b\ul Amendment of Sale and Auction Agreement}{\plain \fs24 \b .  }{\plain \fs24 The Sponsor, the Trust, Big Island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Agent hereby amend the Sale and Auction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November\~20, 2000,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{\u8220\'93}Series Tranche{\u8221\'94} in Section 1.01 is hereby deleted in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{\u8220\'93}Series 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Danno B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with respect to the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Danno B issued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definition of  {\u8220\'93}Total Return Swap Confirmation{\u8221\'94} in Section 1.01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deleted in 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{\u8220\'93}Total Return Swap Confirmation{\u8221\'94} shall mean the confirmation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dated June 15, 2000 and executed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Trust and Enron with respect to the Series Tranche,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by the Omnibus Amendment dated 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definition of {\u8220\'93}Trust Agreement{\u8221\'94} is hereby deleted from Section 1.01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}{\plain \fs24 \b\ul Amendment of Total Return Swap Confirmation}{\plain \fs24 .  Enron and the Trust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the Total Return Swap Confirmation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reference to {\u8220\'93}the Master Agreement between us dated as of March 31,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2000{\u8221\'94} in the second paragraph is hereby deleted and replaced with a reference to {\u8220\'93}the Master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between us dated as of November 20, 2000{\u8221\'94}.\par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{\u8220\'93}Applicable Tranche{\u8221\'94}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{\u8220\'93}Applicable Tranche{\u8221\'94} means the Tranche under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November 20,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(c)}{\plain \fs24 \b\uldb\revised \tab The definition of {\u8220\'93}Disposition Date{\u8221\'94}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}{\plain \fs24 \b\i\uldb\revised {\u8220\'93}Disposition Date{\u8221\'94} means the date on which the Applicable Class B Interest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pursuant to the auction procedure set out in Section 3.03(b)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Asset LLC Agreement if such date occurs after the date on which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principal, accrued interest and any other amounts owed to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full.}{\plain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(d)}{\plain \fs24 \tab The definition of {\u8220\'93}Equity Investment{\u8221\'94}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{\u8220\'93}Equity Investment{\u8221\'94}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Certificate Base Amount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of the Series Certificate plus accrued but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(as defined in the Trust Agreement) thereon.}{\plain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(d)}{\plain \fs24 \b\uldb\revised (e)}{\plain \fs24 \tab The definition of {\u8220\'93}Facility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(e)}{\plain \fs24 \b\uldb\revised (f)}{\plain \fs24 \tab The definition of {\u8220\'93}Notional Amount{\u8221\'94}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{\u8220\'93}Notional Amount{\u8221\'94}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principal amount of the Applicable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plus accrued but unpaid interest on 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(f)}{\plain \fs24 \b\uldb\revised (g)}{\plain \fs24 \tab The definition of {\u8220\'93}Trust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(g)}{\plain \fs24 \b\uldb\revised (h)}{\plain \fs24 \tab The following new definitions are hereby added to Section 1.2:\par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{\u8220\'93}Disposition Date{\u8221\'94} means the date on which the Applicable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is purchased pursuant to the auction procedure set out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3.03(b) of the Series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Costs of Carry{\u8221\'94}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Article 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Initial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Facility Agreement{\u8221\'94} means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Facility Agreement dated May 31, 2000, executed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as issuer of the Notes, CIBC, as Agent, and the other financial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institutions named therein, and any other document expressed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supplemental to, amending or modifying any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Fixed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Floating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\tab \tab {\u8220\'93}Initial Floating Payment Date (Breakage Costs)}{\plain \fs24 \b\i\uldb\revised {\u8221\'94}}{\plain \fs24 \i  means any date after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Floating Payment Date but on or before November 27, 2000 on which breakage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due to the Lenders with respect to payments made on the Initial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Increased Amounts{\u8221\'94}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Section 8.4, 8.6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8.8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Calculation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Interest Payable{\u8221\'94}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all interest payable by the Trust to the lenders under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on such date with respect to the Initial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Principal Amount{\u8221\'94} means, as of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aggregate outstanding principal balance of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Transaction Costs{\u8221\'94}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Date, the reasonable out of pocket costs and expenses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with respect to the Initial Tranche by CIBC, in its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agent for the lenders, the lenders or the Calculation Agent arising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the collection and/or enforcement and/or similar action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Tranche{\u8221\'94} means the tranche under the Initial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June 15, 2000, with respect to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Danno B of the Trust.}{\plain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(h)}{\plain \fs24 \b\uldb\revised (}{\plain \fs24 \b\i\uldb\revised i}{\plain \fs24 \b\uldb\revised )}{\plain \fs24 \tab The definition of {\u8220\'93}Fixed Payment Dates{\u8221\'94} in Section 2.2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Fixed Payment Date, each Applicable Payment Date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(if not an Applicable Payment Date) the Disposition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(i)}{\plain \fs24 \b\uldb\revised (j)}{\plain \fs24 \tab Clause (a) of the definition of {\u8220\'93}Fixed Amount{\u8221\'94} in Section 2.2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words {\u8220\'93}or, if applicable, the Disposition Date{\u8221\'94} are hereby added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words {\u8220\'93}Series Final Distribution Date{\u8221\'94}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parenthetical.}{\plain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(j)}{\plain \fs24 \b\uldb\revised (k)}{\plain \fs24 \tab The following phrase is hereby added as clause (c) to the definition of {\u8220\'93}Fixed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Amount{\u8221\'94} in Section 2.2:\par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(c)  On the Initial Fixed Payment Date, all monies received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pursuant to the Facility Agreement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(k)}{\plain \fs24 \b\uldb\revised (}{\plain \fs24 \b\i\uldb\revised l}{\plain \fs24 \b\uldb\revised )}{\plain \fs24 \tab The definition of {\u8220\'93}Floating Payment Date{\u8221\'94} in Section 2.3 is hereby deleted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Floating Payment Date, each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(Breakage Costs) and each Applicable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(l)}{\plain \fs24 \b\uldb\revised (m)}{\plain \fs24 \tab Clause (ii) of the definition of {\u8220\'93}Floating Amount{\u8221\'94} in Section 2.3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term {\u8220\'93}Notional Amount{\u8221\'94} is hereby deleted and replaced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{\u8220\'93}aggregate principal balance of the Applicable Tranche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date; and{\u8221\'94}}{\plain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(m)}{\plain \fs24 \b\uldb\revised (n)}{\plain \fs24 \tab The following phrase is hereby added as clause (iii)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(iii) on the Initial Floating Payment Date, the sum of (a)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Payable; (b) the Initial Increased Amounts (if any); (c)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Costs of Carry (if any); (d) the Initial Transaction Costs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any); and (e) the Initial Principal Amount; and}{\plain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\strike\revised (n)}{\plain \fs24 \b\uldb\revised (o)}{\plain \fs24 \tab The following phrase is hereby added as clause (iv)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(iv) on the Initial Floating Payment Date (Breakage Costs),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breakage costs due to the Lenders under the Facility Agreement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Applicable Tranche incurred with respect to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on the Initial Floating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6.\tab }{\plain \fs24 \b\ul Confirmation of Independent Auctioneer Letter}{\plain \fs24 .  Enron and CIBC Inc.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and confirm that the Independent Auctioneer Letter dated June 15,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of the Trust{\u8217\'92}s Class B Member Interest in Danno B shall continue in full force and effect.\par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\b\ul Invalidity of any Provisions}{\plain \fs24 \b .  }{\plain \fs24 If any of the provisions of this Amendment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invalid, illegal or unenforceable in any respect under any law, the validity, legality and enforceability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remaining provisions shall not in any way be affected or impaired.\par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\fs24\qj\sl480\slmult1\keep\keepn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parties have duly executed this Omnibus Amendment the day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year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Wilmington Trust Company, as Owner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       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ENERGY SERVICES OPERATIONS,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  }{\plain \fs24 a Delaware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DANNO 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 Operations,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MAUI 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 Operations,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CANADIAN IMPERIAL BANK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COMMERCE}{\plain \fs24 , as Agent\par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II (Series Danno B)/Omnibus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DAL:267271.6\par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267271.5}{\plain \fs24  }{\plain \fs24 \b\uldb\revised 267271.6}{\plain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 (Series Danno B)/Omnibus Amendment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C:\\DOCUME~1\\KRECC\\LOCALS~1\\TEMP\\DAL_267271_5\par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C:\\DOCUME~1\\KRECC\\LOCALS~1\\TEMP\\DAL_267271_6\par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15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