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Hawaii II 125-0</w:t>
      </w:r>
    </w:p>
    <w:p>
      <w:pPr>
        <w:pStyle w:val="Normal"/>
        <w:widowControl/>
        <w:tabs>
          <w:tab w:val="clear" w:pos="720"/>
          <w:tab w:val="center" w:pos="4680" w:leader="none"/>
        </w:tabs>
        <w:spacing w:lineRule="auto" w:line="240"/>
        <w:rPr>
          <w:b/>
          <w:sz w:val="24"/>
        </w:rPr>
      </w:pPr>
      <w:r>
        <w:rPr>
          <w:b/>
          <w:sz w:val="24"/>
        </w:rPr>
        <w:tab/>
        <w:t>Series Danno B</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is made the 17th day of November, 2000, between Hawaii II 125-0 Trust, a Delaware business trust  (f/k/a Hawaii 125-0 Trust), (the “</w:t>
      </w:r>
      <w:r>
        <w:rPr>
          <w:sz w:val="24"/>
          <w:u w:val="single"/>
        </w:rPr>
        <w:t>Trust</w:t>
      </w:r>
      <w:r>
        <w:rPr>
          <w:sz w:val="24"/>
        </w:rPr>
        <w:t>”), Enron Energy Services Operations, Inc., a Delaware corporation (the “</w:t>
      </w:r>
      <w:r>
        <w:rPr>
          <w:sz w:val="24"/>
          <w:u w:val="single"/>
        </w:rPr>
        <w:t>Sponsor</w:t>
      </w:r>
      <w:r>
        <w:rPr>
          <w:sz w:val="24"/>
        </w:rPr>
        <w:t>”), Danno II, L.L.C., a Delaware limited liability company (“</w:t>
      </w:r>
      <w:r>
        <w:rPr>
          <w:sz w:val="24"/>
          <w:u w:val="single"/>
        </w:rPr>
        <w:t>Danno II</w:t>
      </w:r>
      <w:r>
        <w:rPr>
          <w:sz w:val="24"/>
        </w:rPr>
        <w:t>”), Maui II, L.L.C., a Delaware limited liability company (“</w:t>
      </w:r>
      <w:r>
        <w:rPr>
          <w:sz w:val="24"/>
          <w:u w:val="single"/>
        </w:rPr>
        <w:t>Maui II</w:t>
      </w:r>
      <w:r>
        <w:rPr>
          <w:sz w:val="24"/>
        </w:rPr>
        <w:t xml:space="preserve">”), Enron Corp., an Oregon corporation (“Enron”) and Canadian Imperial Bank of Commerce, in its capacity as agent under that certain </w:t>
      </w:r>
      <w:bookmarkStart w:id="0" w:name="Redline_2"/>
      <w:bookmarkEnd w:id="0"/>
      <w:r>
        <w:rPr>
          <w:strike/>
          <w:sz w:val="24"/>
        </w:rPr>
        <w:t>facility agreement</w:t>
      </w:r>
      <w:r>
        <w:rPr>
          <w:sz w:val="24"/>
        </w:rPr>
        <w:t xml:space="preserve"> </w:t>
      </w:r>
      <w:bookmarkStart w:id="1" w:name="Redline_1"/>
      <w:bookmarkEnd w:id="1"/>
      <w:r>
        <w:rPr>
          <w:b/>
          <w:color w:val="FF0000"/>
          <w:sz w:val="24"/>
          <w:u w:val="double"/>
        </w:rPr>
        <w:t>Facility Agreement</w:t>
      </w:r>
      <w:r>
        <w:rPr>
          <w:sz w:val="24"/>
        </w:rPr>
        <w:t xml:space="preserve">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Danno II have entered into that certain Put Option Agreement dated June 15,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Maui II, and the Initial Trust have entered into that certain Amended and Restated Limited Liability Company Agreement of Danno II dated as of June 15, 2000 (the “</w:t>
      </w:r>
      <w:r>
        <w:rPr>
          <w:sz w:val="24"/>
          <w:u w:val="single"/>
        </w:rPr>
        <w:t>Danno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The Sponsor has executed that certain Amended and Restated Limited Liability Company Agreement of Maui II dated as of June 15, 2000 (the “</w:t>
      </w:r>
      <w:r>
        <w:rPr>
          <w:sz w:val="24"/>
          <w:u w:val="single"/>
        </w:rPr>
        <w:t>Maui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The Initial Trust, the Sponsor and the Trust have entered into that certain Sale and Auction Agreement dated as of June 15, 2000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sz w:val="24"/>
        </w:rPr>
      </w:pPr>
      <w:r>
        <w:rPr>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June 15, 2000.</w:t>
      </w:r>
    </w:p>
    <w:p>
      <w:pPr>
        <w:pStyle w:val="Normal"/>
        <w:widowControl/>
        <w:spacing w:lineRule="auto" w:line="240"/>
        <w:rPr>
          <w:sz w:val="24"/>
        </w:rPr>
      </w:pPr>
      <w:r>
        <w:rPr>
          <w:sz w:val="24"/>
        </w:rPr>
      </w:r>
    </w:p>
    <w:p>
      <w:pPr>
        <w:pStyle w:val="Normal"/>
        <w:widowControl/>
        <w:spacing w:lineRule="auto" w:line="240"/>
        <w:rPr>
          <w:sz w:val="24"/>
        </w:rPr>
      </w:pPr>
      <w:r>
        <w:rPr>
          <w:sz w:val="24"/>
        </w:rPr>
        <w:tab/>
        <w:t>It is now the intention of the parties hereto to amend the documents referred to above on the terms of this Amendment.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Operative Provisions</w:t>
      </w:r>
    </w:p>
    <w:p>
      <w:pPr>
        <w:pStyle w:val="Normal"/>
        <w:widowControl/>
        <w:spacing w:lineRule="auto" w:line="240"/>
        <w:rPr>
          <w:sz w:val="24"/>
        </w:rPr>
      </w:pPr>
      <w:r>
        <w:rPr>
          <w:sz w:val="24"/>
        </w:rPr>
      </w:r>
    </w:p>
    <w:p>
      <w:pPr>
        <w:pStyle w:val="Normal"/>
        <w:widowControl/>
        <w:spacing w:lineRule="auto" w:line="240"/>
        <w:rPr/>
      </w:pPr>
      <w:r>
        <w:rPr>
          <w:sz w:val="24"/>
        </w:rPr>
        <w:tab/>
        <w:t>1.</w:t>
        <w:tab/>
      </w:r>
      <w:r>
        <w:rPr>
          <w:b/>
          <w:sz w:val="24"/>
          <w:u w:val="single"/>
        </w:rPr>
        <w:t>Amendment of Put Option Agreement</w:t>
      </w:r>
      <w:r>
        <w:rPr>
          <w:sz w:val="24"/>
        </w:rPr>
        <w:t>.  The Sponsor, Danno II and the Initial Trust hereby amend the Put Option Agreement as follows:</w:t>
      </w:r>
    </w:p>
    <w:p>
      <w:pPr>
        <w:pStyle w:val="Normal"/>
        <w:widowControl/>
        <w:spacing w:lineRule="auto" w:line="240"/>
        <w:rPr>
          <w:sz w:val="24"/>
        </w:rPr>
      </w:pPr>
      <w:r>
        <w:rPr>
          <w:sz w:val="24"/>
        </w:rPr>
      </w:r>
    </w:p>
    <w:p>
      <w:pPr>
        <w:pStyle w:val="Normal"/>
        <w:widowControl/>
        <w:spacing w:lineRule="auto" w:line="240"/>
        <w:rPr>
          <w:sz w:val="24"/>
        </w:rPr>
      </w:pPr>
      <w:r>
        <w:rPr>
          <w:sz w:val="24"/>
        </w:rPr>
        <w:tab/>
        <w:tab/>
        <w:t>(a)</w:t>
        <w:tab/>
        <w:t xml:space="preserve">The definition of “Facility Agreement” in Section 1 of the Put Option </w:t>
        <w:tab/>
        <w:t>Agreement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rPr>
          <w:sz w:val="24"/>
        </w:rPr>
      </w:pPr>
      <w:bookmarkStart w:id="2" w:name="Redline_3"/>
      <w:bookmarkEnd w:id="2"/>
      <w:r>
        <w:rPr>
          <w:strike/>
          <w:sz w:val="24"/>
        </w:rPr>
        <w:t xml:space="preserve">(b) The references to March 15, 2001 and January 31, 2001 in Section 2 of the Put Option Agreement are hereby deleted and replaced with references to November 15, 2002 and October 1, 2002, respectively. </w:t>
      </w:r>
    </w:p>
    <w:p>
      <w:pPr>
        <w:pStyle w:val="Normal"/>
        <w:widowControl/>
        <w:spacing w:lineRule="auto" w:line="240"/>
        <w:rPr>
          <w:sz w:val="24"/>
        </w:rPr>
      </w:pPr>
      <w:r>
        <w:rPr>
          <w:sz w:val="24"/>
        </w:rPr>
      </w:r>
    </w:p>
    <w:p>
      <w:pPr>
        <w:pStyle w:val="Normal"/>
        <w:widowControl/>
        <w:spacing w:lineRule="auto" w:line="240"/>
        <w:rPr>
          <w:sz w:val="24"/>
        </w:rPr>
      </w:pPr>
      <w:r>
        <w:rPr>
          <w:sz w:val="24"/>
        </w:rPr>
        <w:tab/>
        <w:t>2.</w:t>
        <w:tab/>
      </w:r>
      <w:r>
        <w:rPr>
          <w:b/>
          <w:sz w:val="24"/>
          <w:u w:val="single"/>
        </w:rPr>
        <w:t>Amendment of Danno II L.L.C. Agreement</w:t>
      </w:r>
      <w:r>
        <w:rPr>
          <w:b/>
          <w:sz w:val="24"/>
        </w:rPr>
        <w:t xml:space="preserve">.  </w:t>
      </w:r>
    </w:p>
    <w:p>
      <w:pPr>
        <w:pStyle w:val="Normal"/>
        <w:widowControl/>
        <w:spacing w:lineRule="auto" w:line="240"/>
        <w:rPr>
          <w:sz w:val="24"/>
        </w:rPr>
      </w:pPr>
      <w:r>
        <w:rPr>
          <w:sz w:val="24"/>
        </w:rPr>
      </w:r>
    </w:p>
    <w:p>
      <w:pPr>
        <w:pStyle w:val="Normal"/>
        <w:widowControl/>
        <w:spacing w:lineRule="auto" w:line="240"/>
        <w:rPr>
          <w:sz w:val="24"/>
        </w:rPr>
      </w:pPr>
      <w:r>
        <w:rPr>
          <w:sz w:val="24"/>
        </w:rPr>
        <w:tab/>
        <w:t>The Sponsor, in its capacity as the Managing Member of Danno II, hereby amends the Danno II LLC Agreement, and the Trust, as the Class B Member, and the Agent hereby consent to such amendments,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and replaced in its entirety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Certificate”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Series Certificate - The Series Certificate (as defined in the Trust Agreement) issued by the Trust with respect to Series Danno B on November 17, 2000.</w:t>
      </w:r>
      <w:r>
        <w:rPr>
          <w:sz w:val="24"/>
        </w:rPr>
        <w:tab/>
      </w:r>
    </w:p>
    <w:p>
      <w:pPr>
        <w:pStyle w:val="Normal"/>
        <w:widowControl/>
        <w:spacing w:lineRule="auto" w:line="240"/>
        <w:rPr>
          <w:sz w:val="24"/>
        </w:rPr>
      </w:pPr>
      <w:r>
        <w:rPr>
          <w:sz w:val="24"/>
        </w:rPr>
      </w:r>
    </w:p>
    <w:p>
      <w:pPr>
        <w:pStyle w:val="Normal"/>
        <w:keepNext w:val="true"/>
        <w:keepLines/>
        <w:widowControl/>
        <w:spacing w:lineRule="auto" w:line="240"/>
        <w:ind w:start="720" w:end="0"/>
        <w:rPr>
          <w:sz w:val="24"/>
        </w:rPr>
      </w:pPr>
      <w:r>
        <w:rPr>
          <w:sz w:val="24"/>
        </w:rPr>
        <w:tab/>
        <w:t>(c)</w:t>
        <w:tab/>
        <w:t>The definition of “Tranche” in Section 1.01 is hereby deleted in its entirety and replaced by:</w:t>
      </w:r>
    </w:p>
    <w:p>
      <w:pPr>
        <w:pStyle w:val="Normal"/>
        <w:keepNext w:val="true"/>
        <w:keepLines/>
        <w:widowControl/>
        <w:spacing w:lineRule="auto" w:line="240"/>
        <w:rPr>
          <w:sz w:val="24"/>
        </w:rPr>
      </w:pPr>
      <w:r>
        <w:rPr>
          <w:sz w:val="24"/>
        </w:rPr>
      </w:r>
    </w:p>
    <w:p>
      <w:pPr>
        <w:pStyle w:val="Normal"/>
        <w:keepNext w:val="false"/>
        <w:keepLines/>
        <w:widowControl/>
        <w:spacing w:lineRule="auto" w:line="240"/>
        <w:ind w:start="1440" w:end="1440"/>
        <w:rPr>
          <w:sz w:val="24"/>
        </w:rPr>
      </w:pPr>
      <w:r>
        <w:rPr>
          <w:i/>
          <w:sz w:val="24"/>
        </w:rPr>
        <w:t>Tranche - The Tranche, as defined under the Facility Agreement, drawn down on November 17, 2000, with respect to the Asset.</w:t>
      </w:r>
    </w:p>
    <w:p>
      <w:pPr>
        <w:pStyle w:val="Normal"/>
        <w:keepLines w:val="false"/>
        <w:widowControl/>
        <w:spacing w:lineRule="auto" w:line="240"/>
        <w:rPr>
          <w:sz w:val="24"/>
        </w:rPr>
      </w:pPr>
      <w:r>
        <w:rPr>
          <w:sz w:val="24"/>
        </w:rPr>
      </w:r>
    </w:p>
    <w:p>
      <w:pPr>
        <w:pStyle w:val="Normal"/>
        <w:widowControl/>
        <w:spacing w:lineRule="auto" w:line="240"/>
        <w:ind w:start="720" w:end="0"/>
        <w:rPr>
          <w:sz w:val="24"/>
        </w:rPr>
      </w:pPr>
      <w:r>
        <w:rPr>
          <w:sz w:val="24"/>
        </w:rPr>
        <w:tab/>
        <w:t>(d)</w:t>
        <w:tab/>
        <w:t>There is hereby added to Section 1.01 the following additional definition:</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Agent - As defined in the Facility Agreement.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Section 2.04 is hereby deemed amended to permit Danno II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3.</w:t>
        <w:tab/>
      </w:r>
      <w:r>
        <w:rPr>
          <w:b/>
          <w:sz w:val="24"/>
          <w:u w:val="single"/>
        </w:rPr>
        <w:t>Amendment of Maui II, L.L.C. Agreement</w:t>
      </w:r>
      <w:r>
        <w:rPr>
          <w:b/>
          <w:sz w:val="24"/>
        </w:rPr>
        <w:t xml:space="preserve">.  </w:t>
      </w:r>
      <w:r>
        <w:rPr>
          <w:sz w:val="24"/>
        </w:rPr>
        <w:t>The Sponsor hereby amends the Maui II LLC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A new definition is hereby added to Section 1.01:</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Tranche” shall mean the Tranche (as defined in the Facility Agreement) with respect to Series Danno B drawn down on November 17,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Section 2.04 is hereby deemed amended to permit Maui II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4.</w:t>
        <w:tab/>
      </w:r>
      <w:r>
        <w:rPr>
          <w:b/>
          <w:sz w:val="24"/>
          <w:u w:val="single"/>
        </w:rPr>
        <w:t>Amendment of Sale and Auction Agreement</w:t>
      </w:r>
      <w:r>
        <w:rPr>
          <w:b/>
          <w:sz w:val="24"/>
        </w:rPr>
        <w:t xml:space="preserve">.  </w:t>
      </w:r>
      <w:r>
        <w:rPr>
          <w:sz w:val="24"/>
        </w:rPr>
        <w:t>The Sponsor, the Trust, Big Island and the Agent hereby amend the Sale and Auction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Tranche”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Series Tranche” shall mean the Tranche (as defined in the Facility Agreement) with respect to Series Danno B drawn down on November 17, 2000, with respect to the Series.</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Series Certificate - The Series Certificate (as defined in the Trust Agreement) with respect to Series Danno B issued by the Trust on November 17, 2000.</w:t>
      </w:r>
      <w:r>
        <w:rPr>
          <w:sz w:val="24"/>
        </w:rPr>
        <w:tab/>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definition of  “Total Return Swap Confirmation”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Total Return Swap Confirmation” shall mean the confirmation (as defined in the Facility Agreement) dated June 15, 2000 and executed by the Trust and Enron with respect to the Series Tranche, as amended by the Omnibus Amendment dated November 17,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The definition of “Trust Agreement” is hereby deleted from Section 1.01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Trust Agreement” shall mean that certain Second Amended and Restated Trust Agreement governing the Trust dated as of November 17,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5.</w:t>
        <w:tab/>
      </w:r>
      <w:r>
        <w:rPr>
          <w:b/>
          <w:sz w:val="24"/>
          <w:u w:val="single"/>
        </w:rPr>
        <w:t>Amendment of Total Return Swap Confirmation</w:t>
      </w:r>
      <w:r>
        <w:rPr>
          <w:sz w:val="24"/>
        </w:rPr>
        <w:t>.  Enron and the Trust hereby amend the Total Return Swap Confirmation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reference to “the Master Agreement between us dated as of March 31, 2000” in the second paragraph is hereby deleted and replaced with a reference to “the Master Agreement between us dated as of November 17,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“Applicable Tranche” in Section 1.2 is hereby deleted and replaced in its entirety by the following:</w:t>
      </w:r>
    </w:p>
    <w:p>
      <w:pPr>
        <w:pStyle w:val="Normal"/>
        <w:widowControl/>
        <w:spacing w:lineRule="auto" w:line="240"/>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widowControl/>
        <w:spacing w:lineRule="auto" w:line="240"/>
        <w:ind w:start="1440" w:end="1440"/>
        <w:rPr>
          <w:sz w:val="24"/>
        </w:rPr>
      </w:pPr>
      <w:r>
        <w:rPr>
          <w:i/>
          <w:sz w:val="24"/>
        </w:rPr>
        <w:t>“</w:t>
      </w:r>
      <w:r>
        <w:rPr>
          <w:i/>
          <w:sz w:val="24"/>
        </w:rPr>
        <w:t>Applicable Tranche” means the Tranche under the Facility Agreement drawn down on November 17, 2000 with respect to the Applicable Series.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The definition of “Equity Investment”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definition of “Facility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The definition of “Notional Amount”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Notional Amount” shall mean, as of any date of determination, the aggregate outstanding principal amount of the Applicable Tranche plus accrued but unpaid interest on the Applicable Tranche.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definition of “Trust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Trust Agreement” shall mean that certain Second Amended and Restated Trust Agreement governing the Trust dated as of November 17,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(g)</w:t>
        <w:tab/>
        <w:t>The following new definitions are hereby added to Section 1.2:</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w:t>
      </w:r>
      <w:r>
        <w:rPr>
          <w:i/>
          <w:sz w:val="24"/>
        </w:rPr>
        <w:t>Disposition Date” means the date on which the Applicable Class B Interest is purchased pursuant to the auction procedure set out in Section 3.03(b) of the Series Asset LLC Agreement.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Fixed Payment Date” means November 17,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Floating Payment Date” means November 17,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Interest Payable” means, for the Initial Floating Payment Date, all interest payable by the Trust to the lenders under the Initial Facility Agreement on such date with respect to the Initial Tranche.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Principal Amount” means, as of the Initial Floating Payment Date, the aggregate outstanding principal balance of the Initial Tranche on such date.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sz w:val="24"/>
        </w:rPr>
      </w:pPr>
      <w:r>
        <w:rPr>
          <w:i/>
          <w:sz w:val="24"/>
        </w:rPr>
        <w:t>“</w:t>
      </w:r>
      <w:r>
        <w:rPr>
          <w:i/>
          <w:sz w:val="24"/>
        </w:rPr>
        <w:t>Initial Tranche” means the tranche under the Initial Facility Agreement drawn down on June 15, 2000, with respect to the Series Danno B of the Initial Trust.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(h)</w:t>
        <w:tab/>
        <w:t>The definition of “Fixed Payment Dates” in Section 2.2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Fixed Payment Date, each Applicable Payment Date and (if not an Applicable Payment Date) the Disposition Date.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(i)</w:t>
        <w:tab/>
        <w:t>Clause (a) of the definition of “Fixed Amount” in Section 2.2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words “or, if applicable, the Disposition Date” are hereby added following the words “Series Final Distribution Date” in the parenthetical.</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(j)</w:t>
        <w:tab/>
        <w:t>The following phrase is hereby added as clause (c) to the definition of “Fixed Amount” in Section 2.2:</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(c)  On the Initial Fixed Payment Date, all monies received by the Trust pursuant to the Facility Agreement with respect to the Applicable Tranche.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(k)</w:t>
        <w:tab/>
        <w:t>The definition of “Floating Payment Date” in Section 2.3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Floating Payment Date and each Applicable Payment Date.</w:t>
      </w:r>
    </w:p>
    <w:p>
      <w:pPr>
        <w:pStyle w:val="Normal"/>
        <w:widowControl/>
        <w:spacing w:lineRule="auto" w:line="240"/>
        <w:rPr>
          <w:sz w:val="24"/>
        </w:rPr>
      </w:pPr>
      <w:r>
        <w:rPr>
          <w:sz w:val="24"/>
        </w:rPr>
      </w:r>
    </w:p>
    <w:p>
      <w:pPr>
        <w:pStyle w:val="Normal"/>
        <w:widowControl/>
        <w:spacing w:lineRule="auto" w:line="240"/>
        <w:ind w:start="720" w:end="0"/>
        <w:rPr/>
      </w:pPr>
      <w:r>
        <w:rPr>
          <w:sz w:val="24"/>
        </w:rPr>
        <w:tab/>
        <w:t>(</w:t>
      </w:r>
      <w:r>
        <w:rPr>
          <w:i/>
          <w:sz w:val="24"/>
        </w:rPr>
        <w:t>l</w:t>
      </w:r>
      <w:r>
        <w:rPr>
          <w:sz w:val="24"/>
        </w:rPr>
        <w:t>)</w:t>
        <w:tab/>
        <w:t>Clause (ii) of the definition of “Floating Amount” in Section 2.3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term “Notional Amount” is hereby deleted and replaced with the term “aggregate principal balance of the Applicable Tranche on such date; and”</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(m)</w:t>
        <w:tab/>
        <w:t>The following phrase is hereby added as clause (iii) to the definition of “Floating Amount” in Section 2.3:</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widowControl/>
        <w:spacing w:lineRule="auto" w:line="240"/>
        <w:rPr/>
      </w:pPr>
      <w:r>
        <w:rPr>
          <w:sz w:val="24"/>
        </w:rPr>
        <w:tab/>
        <w:t>6.</w:t>
        <w:tab/>
      </w:r>
      <w:r>
        <w:rPr>
          <w:b/>
          <w:sz w:val="24"/>
          <w:u w:val="single"/>
        </w:rPr>
        <w:t>Confirmation of Independent Auctioneer Letter</w:t>
      </w:r>
      <w:r>
        <w:rPr>
          <w:sz w:val="24"/>
        </w:rPr>
        <w:t>.  Enron and CIBC Inc. hereby agree and confirm that the Independent Auctioneer Letter dated June 15, 2000 with respect to the auction of the Trust’s Class B Member Interest in Danno B shall continue in full force and effect.</w:t>
      </w:r>
      <w:r>
        <w:br w:type="page"/>
      </w:r>
    </w:p>
    <w:p>
      <w:pPr>
        <w:pStyle w:val="Normal"/>
        <w:widowControl/>
        <w:spacing w:lineRule="auto" w:line="240"/>
        <w:rPr>
          <w:sz w:val="24"/>
        </w:rPr>
      </w:pPr>
      <w:r>
        <w:rPr>
          <w:sz w:val="24"/>
        </w:rPr>
      </w:r>
    </w:p>
    <w:p>
      <w:pPr>
        <w:sectPr>
          <w:headerReference w:type="even" r:id="rId12"/>
          <w:headerReference w:type="default" r:id="rId13"/>
          <w:footerReference w:type="even" r:id="rId14"/>
          <w:footerReference w:type="default" r:id="rId15"/>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keepNext w:val="true"/>
        <w:keepLines/>
        <w:widowControl/>
        <w:spacing w:lineRule="auto" w:line="480"/>
        <w:rPr>
          <w:sz w:val="24"/>
        </w:rPr>
      </w:pPr>
      <w:r>
        <w:rPr>
          <w:sz w:val="24"/>
        </w:rPr>
        <w:tab/>
        <w:t>IN WITNESS WHEREOF, the parties have duly executed this Omnibus Amendment the day and year first above written.</w:t>
      </w:r>
    </w:p>
    <w:p>
      <w:pPr>
        <w:pStyle w:val="Normal"/>
        <w:keepNext w:val="true"/>
        <w:keepLines/>
        <w:widowControl/>
        <w:spacing w:lineRule="auto" w:line="48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P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pPr>
      <w:r>
        <w:rPr>
          <w:b/>
          <w:sz w:val="24"/>
        </w:rPr>
        <w:t>HAWAII II 125-0 TRUST</w:t>
      </w:r>
      <w:r>
        <w:rPr>
          <w:sz w:val="24"/>
        </w:rPr>
        <w:t>,</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 Delaware business trust</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 xml:space="preserve">By: Wilmington Trust Company, as Owner </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 xml:space="preserve">        Trustee</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false"/>
        <w:keepLines/>
        <w:widowControl/>
        <w:tabs>
          <w:tab w:val="clear" w:pos="720"/>
          <w:tab w:val="right" w:pos="5040" w:leader="none"/>
        </w:tabs>
        <w:spacing w:lineRule="auto" w:line="240"/>
        <w:rPr>
          <w:sz w:val="24"/>
        </w:rPr>
      </w:pPr>
      <w:r>
        <w:rPr>
          <w:sz w:val="24"/>
        </w:rPr>
        <w:t>Title:</w:t>
      </w:r>
      <w:r>
        <w:rPr>
          <w:sz w:val="24"/>
          <w:u w:val="single"/>
        </w:rPr>
        <w:tab/>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keepLines w:val="false"/>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r>
        <w:br w:type="page"/>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headerReference w:type="even" r:id="rId16"/>
          <w:headerReference w:type="default" r:id="rId17"/>
          <w:footerReference w:type="even" r:id="rId18"/>
          <w:footerReference w:type="default" r:id="rId19"/>
          <w:type w:val="nextPage"/>
          <w:pgSz w:orient="landscape" w:w="12240" w:h="15840"/>
          <w:pgMar w:left="5760" w:right="1440" w:gutter="0" w:header="1440" w:top="1920" w:footer="864" w:bottom="1303"/>
          <w:pgNumType w:fmt="decimal"/>
          <w:formProt w:val="false"/>
          <w:textDirection w:val="lrTb"/>
          <w:docGrid w:type="default" w:linePitch="360" w:charSpace="0"/>
        </w:sectPr>
      </w:pP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pPr>
      <w:r>
        <w:rPr>
          <w:b/>
          <w:sz w:val="24"/>
        </w:rPr>
        <w:t xml:space="preserve">ENRON ENERGY SERVICES OPERATIONS, INC.,   </w:t>
      </w:r>
      <w:r>
        <w:rPr>
          <w:sz w:val="24"/>
        </w:rPr>
        <w:t>a Delaware corporation</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5760" w:right="1440" w:gutter="0" w:header="1440" w:top="1920" w:footer="864" w:bottom="1303"/>
          <w:formProt w:val="false"/>
          <w:textDirection w:val="lrTb"/>
          <w:docGrid w:type="default" w:linePitch="360" w:charSpace="0"/>
        </w:sectPr>
        <w:pStyle w:val="Normal"/>
        <w:keepLines w:val="false"/>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sz w:val="24"/>
        </w:rPr>
      </w:pPr>
      <w:r>
        <w:rPr>
          <w:sz w:val="24"/>
        </w:rPr>
      </w:r>
      <w:r>
        <w:br w:type="page"/>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headerReference w:type="even" r:id="rId20"/>
          <w:headerReference w:type="default" r:id="rId21"/>
          <w:footerReference w:type="even" r:id="rId22"/>
          <w:footerReference w:type="default" r:id="rId23"/>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pPr>
      <w:r>
        <w:rPr>
          <w:b/>
          <w:sz w:val="24"/>
        </w:rPr>
        <w:t>DANNO II, L.L.C.</w:t>
      </w:r>
      <w:r>
        <w:rPr>
          <w:sz w:val="24"/>
        </w:rPr>
        <w:t>,</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 Delaware limited liability company</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By: Enron Energy Services Operations, Inc.</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its managing member</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keepLines w:val="false"/>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sz w:val="24"/>
        </w:rPr>
      </w:pPr>
      <w:r>
        <w:rPr>
          <w:sz w:val="24"/>
        </w:rPr>
      </w:r>
      <w:r>
        <w:br w:type="page"/>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headerReference w:type="even" r:id="rId24"/>
          <w:headerReference w:type="default" r:id="rId25"/>
          <w:footerReference w:type="even" r:id="rId26"/>
          <w:footerReference w:type="default" r:id="rId27"/>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pPr>
      <w:r>
        <w:rPr>
          <w:b/>
          <w:sz w:val="24"/>
        </w:rPr>
        <w:t>MAUI II, L.L.C.</w:t>
      </w:r>
      <w:r>
        <w:rPr>
          <w:sz w:val="24"/>
        </w:rPr>
        <w:t>,</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 Delaware limited liability company</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By: Enron Energy Services Operations, Inc.</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b/>
        <w:t>its managing member</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keepLines w:val="false"/>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sz w:val="24"/>
        </w:rPr>
      </w:pPr>
      <w:r>
        <w:rPr>
          <w:sz w:val="24"/>
        </w:rPr>
      </w:r>
      <w:r>
        <w:br w:type="page"/>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headerReference w:type="even" r:id="rId28"/>
          <w:headerReference w:type="default" r:id="rId29"/>
          <w:footerReference w:type="even" r:id="rId30"/>
          <w:footerReference w:type="default" r:id="rId31"/>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pPr>
      <w:r>
        <w:rPr>
          <w:b/>
          <w:sz w:val="24"/>
        </w:rPr>
        <w:t>CANADIAN IMPERIAL BANK OF COMMERCE</w:t>
      </w:r>
      <w:r>
        <w:rPr>
          <w:sz w:val="24"/>
        </w:rPr>
        <w:t>, as Agent</w:t>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keepNext w:val="true"/>
        <w:keepLines/>
        <w:widowControl/>
        <w:tabs>
          <w:tab w:val="clear" w:pos="720"/>
          <w:tab w:val="right" w:pos="5040" w:leader="none"/>
        </w:tabs>
        <w:spacing w:lineRule="auto" w:line="240"/>
        <w:jc w:val="both"/>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keepLines w:val="false"/>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ind w:end="0"/>
        <w:rPr>
          <w:sz w:val="24"/>
        </w:rPr>
      </w:pPr>
      <w:r>
        <w:rPr>
          <w:sz w:val="24"/>
        </w:rPr>
      </w:r>
      <w:r>
        <w:br w:type="page"/>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 xml:space="preserve">This redlined draft, generated by CompareRite (TM) - The Instant Redliner, shows the differences between - </w:t>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original document   : C:\DOCUME~1\KRECC\LOCALS~1\TEMP\DAL_267271_3</w:t>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and revised document: C:\DOCUME~1\KRECC\LOCALS~1\TEMP\DAL_267271_4</w:t>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CompareRite found    2 change(s) in the text</w:t>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uto" w:line="240"/>
        <w:rPr>
          <w:sz w:val="24"/>
        </w:rPr>
      </w:pPr>
      <w:r>
        <w:rPr>
          <w:sz w:val="24"/>
        </w:rPr>
        <w:t xml:space="preserve">Deletions appear as Strikethrough text </w:t>
      </w:r>
    </w:p>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tLeast" w:line="0" w:before="0" w:after="0"/>
        <w:rPr>
          <w:sz w:val="24"/>
        </w:rPr>
      </w:pPr>
      <w:r>
        <w:rPr>
          <w:sz w:val="24"/>
        </w:rPr>
        <w:t xml:space="preserve">Additions appear as Bold+Dbl Underline text </w:t>
      </w:r>
    </w:p>
    <w:sectPr>
      <w:headerReference w:type="even" r:id="rId32"/>
      <w:headerReference w:type="default" r:id="rId33"/>
      <w:footerReference w:type="even" r:id="rId34"/>
      <w:footerReference w:type="default" r:id="rId35"/>
      <w:type w:val="nextPage"/>
      <w:pgSz w:orient="landscape" w:w="12240" w:h="15840"/>
      <w:pgMar w:left="1440" w:right="1440" w:gutter="0" w:header="1440" w:top="1920" w:footer="864" w:bottom="13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jc w:val="both"/>
      <w:rPr>
        <w:sz w:val="14"/>
      </w:rPr>
    </w:pPr>
    <w:r>
      <w:rPr>
        <w:sz w:val="14"/>
      </w:rPr>
      <w:t>DAL:267271.4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12" w:leader="none"/>
        <w:tab w:val="left" w:pos="60" w:leader="none"/>
        <w:tab w:val="left" w:pos="96" w:leader="none"/>
        <w:tab w:val="decimal" w:pos="144" w:leader="none"/>
        <w:tab w:val="left" w:pos="216" w:leader="none"/>
        <w:tab w:val="left" w:pos="720" w:leader="none"/>
        <w:tab w:val="center" w:pos="1440" w:leader="dot"/>
        <w:tab w:val="left" w:pos="1080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