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 xml:space="preserve">HAWAII </w:t>
      </w:r>
      <w:r>
        <w:rPr>
          <w:strike/>
          <w:color w:val="FF0000"/>
        </w:rPr>
        <w:t>I</w:t>
      </w:r>
      <w:r>
        <w:rPr/>
        <w:t xml:space="preserve"> </w:t>
      </w:r>
      <w:r>
        <w:rPr>
          <w:b/>
          <w:color w:val="FF0000"/>
          <w:u w:val="double"/>
        </w:rPr>
        <w:t>II</w:t>
      </w:r>
      <w:r>
        <w:rPr/>
        <w:t xml:space="preserve"> 125-0 TRUST, SERIES DANNO B</w:t>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 xml:space="preserve">By its acceptance, directly or through a nominee, of this Series Certificate, the purchaser will be deemed (a) to have represented to the owner trustee (as defined in the </w:t>
      </w:r>
      <w:r>
        <w:rPr>
          <w:b/>
          <w:color w:val="FF0000"/>
          <w:u w:val="double"/>
        </w:rPr>
        <w:t>Second Amended and Restated</w:t>
      </w:r>
      <w:r>
        <w:rPr>
          <w:b/>
        </w:rPr>
        <w:t xml:space="preserve"> Trust Agreement by and between Wilmington Trust Company, as owner trustee and the holders of certificates from time to time thereunder, dated as of November 17,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pPr>
      <w:r>
        <w:rPr>
          <w:b/>
        </w:rPr>
        <w:tab/>
        <w:t xml:space="preserve">By its acceptance, directly or through a nominee, of this Series Certificate, the purchaser will be deemed </w:t>
      </w:r>
      <w:r>
        <w:rPr>
          <w:b/>
          <w:strike/>
          <w:color w:val="FF0000"/>
        </w:rPr>
        <w:t>(a)</w:t>
      </w:r>
      <w:r>
        <w:rPr>
          <w:b/>
        </w:rPr>
        <w:t xml:space="preserve">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tabs>
          <w:tab w:val="clear" w:pos="720"/>
          <w:tab w:val="center" w:pos="4680" w:leader="none"/>
        </w:tabs>
        <w:rPr/>
      </w:pPr>
      <w:r>
        <w:rPr/>
        <w:tab/>
        <w:t xml:space="preserve">Hawaii </w:t>
      </w:r>
      <w:r>
        <w:rPr>
          <w:strike/>
          <w:color w:val="FF0000"/>
        </w:rPr>
        <w:t>I</w:t>
      </w:r>
      <w:r>
        <w:rPr/>
        <w:t xml:space="preserve"> </w:t>
      </w:r>
      <w:r>
        <w:rPr>
          <w:b/>
          <w:color w:val="FF0000"/>
          <w:u w:val="double"/>
        </w:rPr>
        <w:t>II</w:t>
      </w:r>
      <w:r>
        <w:rPr/>
        <w:t xml:space="preserve"> 125-0 TRUST</w:t>
      </w:r>
    </w:p>
    <w:p>
      <w:pPr>
        <w:pStyle w:val="Normal"/>
        <w:widowControl/>
        <w:rPr/>
      </w:pPr>
      <w:r>
        <w:rPr/>
      </w:r>
    </w:p>
    <w:p>
      <w:pPr>
        <w:pStyle w:val="Normal"/>
        <w:widowControl/>
        <w:tabs>
          <w:tab w:val="clear" w:pos="720"/>
          <w:tab w:val="center" w:pos="4680" w:leader="none"/>
        </w:tabs>
        <w:rPr>
          <w:strike/>
          <w:color w:val="FF0000"/>
        </w:rPr>
      </w:pPr>
      <w:r>
        <w:rPr/>
        <w:tab/>
      </w:r>
    </w:p>
    <w:p>
      <w:pPr>
        <w:pStyle w:val="Normal"/>
        <w:widowControl/>
        <w:rPr/>
      </w:pPr>
      <w:r>
        <w:rPr>
          <w:strike/>
          <w:color w:val="FF0000"/>
        </w:rPr>
        <w:t>FORM OF</w:t>
      </w:r>
      <w:r>
        <w:rPr/>
        <w:t xml:space="preserve"> SERIES CERTIFICATE OF BENEFICIAL OWNERSHIP</w:t>
      </w:r>
    </w:p>
    <w:p>
      <w:pPr>
        <w:pStyle w:val="Normal"/>
        <w:widowControl/>
        <w:rPr/>
      </w:pPr>
      <w:r>
        <w:rPr/>
      </w:r>
    </w:p>
    <w:p>
      <w:pPr>
        <w:pStyle w:val="Normal"/>
        <w:widowControl/>
        <w:rPr/>
      </w:pPr>
      <w:r>
        <w:rPr/>
        <w:t xml:space="preserve">evidencing a fractional undivided interest in the Series, as defined below, the property of which includes, a Class B Membership Interest (the “Class B Interest”) in Danno II, L.L.C., a limited liability company formed under the laws of the State of Delaware, representing 99.99% of the economic but none of the voting interest in such entity, and rights under a </w:t>
      </w:r>
      <w:r>
        <w:rPr>
          <w:strike/>
          <w:color w:val="FF0000"/>
        </w:rPr>
        <w:t>Sale</w:t>
      </w:r>
      <w:r>
        <w:rPr/>
        <w:t xml:space="preserve"> </w:t>
      </w:r>
      <w:r>
        <w:rPr>
          <w:b/>
          <w:color w:val="FF0000"/>
          <w:u w:val="double"/>
        </w:rPr>
        <w:t>Transfer</w:t>
      </w:r>
      <w:r>
        <w:rPr/>
        <w:t xml:space="preserve"> and Auction Agreement, dated as of </w:t>
      </w:r>
      <w:r>
        <w:rPr>
          <w:strike/>
          <w:color w:val="FF0000"/>
        </w:rPr>
        <w:t>November 17</w:t>
      </w:r>
      <w:r>
        <w:rPr/>
        <w:t xml:space="preserve"> </w:t>
      </w:r>
      <w:r>
        <w:rPr>
          <w:b/>
          <w:color w:val="FF0000"/>
          <w:u w:val="double"/>
        </w:rPr>
        <w:t>June 15</w:t>
      </w:r>
      <w:r>
        <w:rPr/>
        <w:t xml:space="preserve">, 2000 (the “Transfer and Auction Agreement”), by and among the Hawaii II 125-0 Trust (the “Trust”), </w:t>
      </w:r>
      <w:r>
        <w:rPr>
          <w:strike/>
          <w:color w:val="FF0000"/>
        </w:rPr>
        <w:t>Hawaii 125-0</w:t>
      </w:r>
      <w:r>
        <w:rPr/>
        <w:t xml:space="preserve"> </w:t>
      </w:r>
      <w:r>
        <w:rPr>
          <w:b/>
          <w:color w:val="FF0000"/>
          <w:u w:val="double"/>
        </w:rPr>
        <w:t>LLC Interest Holdings I Owner</w:t>
      </w:r>
      <w:r>
        <w:rPr/>
        <w:t xml:space="preserve"> Trust (the “Transferor”) and Enron Energy Services Operations, Inc. (the “Sponsor”).  The Final Distribution Date is scheduled to occur on March 15, 2001.</w:t>
      </w:r>
    </w:p>
    <w:p>
      <w:pPr>
        <w:pStyle w:val="Normal"/>
        <w:widowControl/>
        <w:rPr/>
      </w:pPr>
      <w:r>
        <w:rPr/>
      </w:r>
    </w:p>
    <w:p>
      <w:pPr>
        <w:pStyle w:val="Normal"/>
        <w:widowControl/>
        <w:rPr/>
      </w:pPr>
      <w:r>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t>$342,857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THIS CERTIFIES THAT CIBC Inc. is the registered owner of a Three Hundred Forty-Two Thousand Eight Hundred Fifty-Seven Dollars ($342,857) nonassessable, fully-paid, fractional undivided beneficial interest in the Trust.  The Trust </w:t>
      </w:r>
      <w:r>
        <w:rPr>
          <w:strike/>
          <w:color w:val="FF0000"/>
        </w:rPr>
        <w:t xml:space="preserve">was created pursuant to a </w:t>
      </w:r>
      <w:r>
        <w:rPr>
          <w:b/>
          <w:color w:val="FF0000"/>
          <w:u w:val="double"/>
        </w:rPr>
        <w:t>is governed by a Second Amended and Restated</w:t>
      </w:r>
      <w:r>
        <w:rPr/>
        <w:t xml:space="preserve">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color w:val="FF0000"/>
          <w:u w:val="double"/>
        </w:rPr>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sectPr>
          <w:type w:val="continuous"/>
          <w:pgSz w:w="12240" w:h="15840"/>
          <w:pgMar w:left="1440" w:right="1440" w:gutter="0" w:header="1440" w:top="1496" w:footer="1440" w:bottom="1496"/>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1440" w:bottom="186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COMPARISON OF FOOTERS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-FOOTER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DAL: </w:t>
      </w:r>
      <w:r>
        <w:rPr>
          <w:strike/>
          <w:color w:val="FF0000"/>
        </w:rPr>
        <w:t>267069.2</w:t>
      </w:r>
      <w:r>
        <w:rPr/>
        <w:t xml:space="preserve"> </w:t>
      </w:r>
      <w:r>
        <w:rPr>
          <w:b/>
          <w:color w:val="FF0000"/>
          <w:u w:val="double"/>
        </w:rPr>
        <w:t>267069.3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-FOOTER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Project Hawaii II (Danno B)/Series Certificate of Beneficial Ownership - Signature Page</w:t>
      </w:r>
    </w:p>
    <w:p>
      <w:pPr>
        <w:sectPr>
          <w:type w:val="continuous"/>
          <w:pgSz w:w="12240" w:h="15840"/>
          <w:pgMar w:left="1440" w:right="1440" w:gutter="0" w:header="1440" w:top="1496" w:footer="1440" w:bottom="186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C:\DOCUME~1\KRECC\LOCALS~1\TEMP\DAL_267069_2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C:\DOCUME~1\KRECC\LOCALS~1\TEMP\DAL_267069_3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10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headerReference w:type="even" r:id="rId14"/>
      <w:headerReference w:type="default" r:id="rId15"/>
      <w:footerReference w:type="even" r:id="rId16"/>
      <w:footerReference w:type="default" r:id="rId17"/>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DAL:267069.3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DAL:267069.3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9144000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11</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11</w:t>
                    </w:r>
                    <w:r>
                      <w:rPr>
                        <w:sz w:val="24"/>
                      </w:rPr>
                      <w:fldChar w:fldCharType="end"/>
                    </w:r>
                    <w:r>
                      <w:rPr>
                        <w:sz w:val="24"/>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