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spacing w:lineRule="auto" w:line="240"/>
        <w:jc w:val="both"/>
        <w:rPr/>
      </w:pPr>
      <w:r>
        <w:rPr>
          <w:sz w:val="24"/>
        </w:rPr>
      </w:r>
      <w:r>
        <w:rPr>
          <w:sz w:val="24"/>
        </w:rPr>
        <w:tab/>
      </w:r>
      <w:r>
        <w:rPr>
          <w:b/>
          <w:sz w:val="24"/>
        </w:rPr>
        <w:t>Hawaii II 125-0</w:t>
      </w:r>
    </w:p>
    <w:p>
      <w:pPr>
        <w:pStyle w:val="Normal"/>
        <w:widowControl/>
        <w:tabs>
          <w:tab w:val="clear" w:pos="720"/>
          <w:tab w:val="center" w:pos="4680" w:leader="none"/>
        </w:tabs>
        <w:spacing w:lineRule="auto" w:line="240"/>
        <w:rPr>
          <w:b/>
          <w:sz w:val="24"/>
        </w:rPr>
      </w:pPr>
      <w:r>
        <w:rPr>
          <w:b/>
          <w:sz w:val="24"/>
        </w:rPr>
        <w:tab/>
        <w:t xml:space="preserve">Series McGarret D </w:t>
      </w:r>
    </w:p>
    <w:p>
      <w:pPr>
        <w:pStyle w:val="Normal"/>
        <w:widowControl/>
        <w:spacing w:lineRule="auto" w:line="240"/>
        <w:rPr>
          <w:b/>
          <w:sz w:val="24"/>
        </w:rPr>
      </w:pPr>
      <w:r>
        <w:rPr>
          <w:b/>
          <w:sz w:val="24"/>
        </w:rPr>
      </w:r>
    </w:p>
    <w:p>
      <w:pPr>
        <w:pStyle w:val="Normal"/>
        <w:widowControl/>
        <w:tabs>
          <w:tab w:val="clear" w:pos="720"/>
          <w:tab w:val="center" w:pos="4680" w:leader="none"/>
        </w:tabs>
        <w:spacing w:lineRule="auto" w:line="240"/>
        <w:rPr>
          <w:sz w:val="24"/>
        </w:rPr>
      </w:pPr>
      <w:r>
        <w:rPr>
          <w:b/>
          <w:sz w:val="24"/>
        </w:rPr>
        <w:tab/>
        <w:t>Omnibus Amendment</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pPr>
      <w:r>
        <w:rPr>
          <w:sz w:val="24"/>
        </w:rPr>
        <w:tab/>
        <w:t xml:space="preserve">This Omnibus Amendment (this “ </w:t>
      </w:r>
      <w:r>
        <w:rPr>
          <w:sz w:val="24"/>
          <w:u w:val="single"/>
        </w:rPr>
        <w:t>Amendment</w:t>
      </w:r>
      <w:r>
        <w:rPr>
          <w:sz w:val="24"/>
        </w:rPr>
        <w:t>”) is made the 17th day of November, 2000, between Hawaii II 125-0 Trust, a Delaware business trust (f/k/a/ Hawaii 125-0 Trust) (the “</w:t>
      </w:r>
      <w:r>
        <w:rPr>
          <w:sz w:val="24"/>
          <w:u w:val="single"/>
        </w:rPr>
        <w:t>Trust</w:t>
      </w:r>
      <w:r>
        <w:rPr>
          <w:sz w:val="24"/>
        </w:rPr>
        <w:t>”), Enron Energy Services, LLC, a Delaware limited liability company (the “</w:t>
      </w:r>
      <w:r>
        <w:rPr>
          <w:sz w:val="24"/>
          <w:u w:val="single"/>
        </w:rPr>
        <w:t>Sponsor</w:t>
      </w:r>
      <w:r>
        <w:rPr>
          <w:sz w:val="24"/>
        </w:rPr>
        <w:t>”), McGarret II, L.L.C., a Delaware limited liability company (“</w:t>
      </w:r>
      <w:r>
        <w:rPr>
          <w:sz w:val="24"/>
          <w:u w:val="single"/>
        </w:rPr>
        <w:t>McGarret II</w:t>
      </w:r>
      <w:r>
        <w:rPr>
          <w:sz w:val="24"/>
        </w:rPr>
        <w:t>”), Big Island II, L.L.C., a Delaware limited liability company (“</w:t>
      </w:r>
      <w:r>
        <w:rPr>
          <w:sz w:val="24"/>
          <w:u w:val="single"/>
        </w:rPr>
        <w:t>Big Island II</w:t>
      </w:r>
      <w:r>
        <w:rPr>
          <w:sz w:val="24"/>
        </w:rPr>
        <w:t xml:space="preserve">”), Enron Corp., an Oregon corporation (“Enron”) and Canadian Imperial Bank of Commerce, in its capacity as agent under that certain </w:t>
      </w:r>
      <w:bookmarkStart w:id="0" w:name="Redline_2"/>
      <w:bookmarkEnd w:id="0"/>
      <w:r>
        <w:rPr>
          <w:strike/>
          <w:sz w:val="24"/>
        </w:rPr>
        <w:t>facility agreement</w:t>
      </w:r>
      <w:r>
        <w:rPr>
          <w:sz w:val="24"/>
        </w:rPr>
        <w:t xml:space="preserve"> </w:t>
      </w:r>
      <w:bookmarkStart w:id="1" w:name="Redline_1"/>
      <w:bookmarkEnd w:id="1"/>
      <w:r>
        <w:rPr>
          <w:b/>
          <w:color w:val="FF0000"/>
          <w:sz w:val="24"/>
          <w:u w:val="double"/>
        </w:rPr>
        <w:t>Facility Agreement</w:t>
      </w:r>
      <w:r>
        <w:rPr>
          <w:sz w:val="24"/>
        </w:rPr>
        <w:t xml:space="preserve"> dated March 31, 2000 as such agreement was amended and restated on May 31, 2000, in each case, executed by the Trust, Canadian Imperial Bank of Commerce and the other financial institutions party thereto (the “</w:t>
      </w:r>
      <w:r>
        <w:rPr>
          <w:sz w:val="24"/>
          <w:u w:val="single"/>
        </w:rPr>
        <w:t>Agent</w:t>
      </w:r>
      <w:r>
        <w:rPr>
          <w:sz w:val="24"/>
        </w:rPr>
        <w:t>”).</w:t>
      </w:r>
    </w:p>
    <w:p>
      <w:pPr>
        <w:pStyle w:val="Normal"/>
        <w:widowControl/>
        <w:spacing w:lineRule="auto" w:line="240"/>
        <w:rPr>
          <w:sz w:val="24"/>
        </w:rPr>
      </w:pPr>
      <w:r>
        <w:rPr>
          <w:sz w:val="24"/>
        </w:rPr>
      </w:r>
    </w:p>
    <w:p>
      <w:pPr>
        <w:pStyle w:val="Normal"/>
        <w:widowControl/>
        <w:tabs>
          <w:tab w:val="clear" w:pos="720"/>
          <w:tab w:val="center" w:pos="4680" w:leader="none"/>
        </w:tabs>
        <w:spacing w:lineRule="auto" w:line="240"/>
        <w:rPr/>
      </w:pPr>
      <w:r>
        <w:rPr>
          <w:sz w:val="24"/>
        </w:rPr>
        <w:tab/>
      </w:r>
      <w:r>
        <w:rPr>
          <w:b/>
          <w:sz w:val="24"/>
          <w:u w:val="single"/>
        </w:rPr>
        <w:t>Recitals</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A.</w:t>
        <w:tab/>
        <w:t>The Sponsor and McGarret II have entered into that certain Put Option Agreement dated September 29, 2000 (the “</w:t>
      </w:r>
      <w:r>
        <w:rPr>
          <w:sz w:val="24"/>
          <w:u w:val="single"/>
        </w:rPr>
        <w:t>Put Option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B.</w:t>
        <w:tab/>
        <w:t>The Sponsor, Big Island II, and the Trust have entered into that certain Second Amended and Restated Limited Liability Company Agreement of McGarret II dated as of September 29, 2000 (the “</w:t>
      </w:r>
      <w:r>
        <w:rPr>
          <w:sz w:val="24"/>
          <w:u w:val="single"/>
        </w:rPr>
        <w:t>McGarret II LLC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C.</w:t>
        <w:tab/>
        <w:t>The Sponsor has executed that certain Second Amended and Restated Limited Liability Company Agreement of Big Island II dated as of September 29, 2000 (the “</w:t>
      </w:r>
      <w:r>
        <w:rPr>
          <w:sz w:val="24"/>
          <w:u w:val="single"/>
        </w:rPr>
        <w:t>Big Island II LLC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D.</w:t>
        <w:tab/>
        <w:t>Big Island II, the Sponsor and the Trust have entered into that certain Sale and Auction Agreement, dated as of June 29, 2000, as amended by that certain Amendment No. 1 To Sale and Auction Agreement dated as of September 29, 2000 (as amended, the “</w:t>
      </w:r>
      <w:r>
        <w:rPr>
          <w:sz w:val="24"/>
          <w:u w:val="single"/>
        </w:rPr>
        <w:t>Sale and Auction Agreement</w:t>
      </w:r>
      <w:r>
        <w:rPr>
          <w:sz w:val="24"/>
        </w:rPr>
        <w:t>”).</w:t>
      </w:r>
    </w:p>
    <w:p>
      <w:pPr>
        <w:pStyle w:val="Normal"/>
        <w:widowControl/>
        <w:spacing w:lineRule="auto" w:line="240"/>
        <w:rPr>
          <w:sz w:val="24"/>
        </w:rPr>
      </w:pPr>
      <w:r>
        <w:rPr>
          <w:sz w:val="24"/>
        </w:rPr>
      </w:r>
    </w:p>
    <w:p>
      <w:pPr>
        <w:pStyle w:val="Normal"/>
        <w:widowControl/>
        <w:spacing w:lineRule="auto" w:line="240"/>
        <w:rPr>
          <w:sz w:val="24"/>
        </w:rPr>
      </w:pPr>
      <w:r>
        <w:rPr>
          <w:sz w:val="24"/>
        </w:rPr>
        <w:tab/>
        <w:t>E.</w:t>
        <w:tab/>
        <w:t>Enron and the Trust have entered into that certain ISDA Master Agreement dated as of March 31, 2000, together with the Schedule thereto dated as of March 31, 2000, and the Total Return Swap Confirmation (the “Total Return Swap Confirmation”) dated as of September 29, 2000.</w:t>
      </w:r>
    </w:p>
    <w:p>
      <w:pPr>
        <w:pStyle w:val="Normal"/>
        <w:widowControl/>
        <w:spacing w:lineRule="auto" w:line="240"/>
        <w:rPr>
          <w:sz w:val="24"/>
        </w:rPr>
      </w:pPr>
      <w:r>
        <w:rPr>
          <w:sz w:val="24"/>
        </w:rPr>
      </w:r>
    </w:p>
    <w:p>
      <w:pPr>
        <w:pStyle w:val="Normal"/>
        <w:widowControl/>
        <w:spacing w:lineRule="atLeast" w:line="0" w:before="0" w:after="0"/>
        <w:rPr>
          <w:sz w:val="24"/>
        </w:rPr>
      </w:pPr>
      <w:r>
        <w:rPr>
          <w:sz w:val="24"/>
        </w:rPr>
        <w:tab/>
        <w:t>It is now the intention of the parties hereto to amend the documents referred to above as set forth in this Amendment.</w:t>
      </w:r>
    </w:p>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DAL:267037.4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jc w:val="both"/>
      <w:rPr>
        <w:sz w:val="14"/>
      </w:rPr>
    </w:pPr>
    <w:r>
      <w:rPr>
        <w:sz w:val="14"/>
      </w:rPr>
      <w:t>DAL:267037.4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