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 xml:space="preserve">Series McGarret A </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Omnibus Amendment (this “</w:t>
      </w:r>
      <w:r>
        <w:rPr>
          <w:rFonts w:ascii="Times New Roman" w:hAnsi="Times New Roman"/>
          <w:sz w:val="24"/>
          <w:u w:val="single"/>
        </w:rPr>
        <w:t>Amendment</w:t>
      </w:r>
      <w:r>
        <w:rPr>
          <w:rFonts w:ascii="Times New Roman" w:hAnsi="Times New Roman"/>
          <w:sz w:val="24"/>
        </w:rPr>
        <w:t>”) is made the 20th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 L.L.C., a Delaware limited liability company (“</w:t>
      </w:r>
      <w:r>
        <w:rPr>
          <w:rFonts w:ascii="Times New Roman" w:hAnsi="Times New Roman"/>
          <w:sz w:val="24"/>
          <w:u w:val="single"/>
        </w:rPr>
        <w:t>McGarret I</w:t>
      </w:r>
      <w:r>
        <w:rPr>
          <w:rFonts w:ascii="Times New Roman" w:hAnsi="Times New Roman"/>
          <w:sz w:val="24"/>
        </w:rPr>
        <w:t>”), Big Island I, L.L.C., a Delaware limited liability company (“</w:t>
      </w:r>
      <w:r>
        <w:rPr>
          <w:rFonts w:ascii="Times New Roman" w:hAnsi="Times New Roman"/>
          <w:sz w:val="24"/>
          <w:u w:val="single"/>
        </w:rPr>
        <w:t>Big Island 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 have entered into that certain Put Option Agreement dated March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 and the Trust have entered into that certain Amended and Restated Limited Liability Company Agreement of McGarret I dated as of March 31, 2000 (the “</w:t>
      </w:r>
      <w:r>
        <w:rPr>
          <w:rFonts w:ascii="Times New Roman" w:hAnsi="Times New Roman"/>
          <w:sz w:val="24"/>
          <w:u w:val="single"/>
        </w:rPr>
        <w:t>McGarret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Big Island I dated as of March 31, 2000 (the “</w:t>
      </w:r>
      <w:r>
        <w:rPr>
          <w:rFonts w:ascii="Times New Roman" w:hAnsi="Times New Roman"/>
          <w:sz w:val="24"/>
          <w:u w:val="single"/>
        </w:rPr>
        <w:t>Big Island 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 the Sponsor and the Trust have entered into that certain Sale and Auction Agreement dated as of March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March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references to December 29, 2000 and December 15, 2000 in Section 2 of the Put Option Agreement are hereby deleted and replaced with references to November 19, 2002 and October 8,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 hereby amends the McGarret 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 to December 29, 2000 in the definition of “Auction Closing Date” is hereby deleted and replaced with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reference to December 1, 2000 in the definition of “Auction Date” is </w:t>
        <w:tab/>
        <w:t>hereby deleted and replaced with a reference to October 22,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 xml:space="preserve">The reference to November 1, 2000 in the definition of “Auction Notice Date” </w:t>
        <w:tab/>
        <w:t>is hereby deleted and replaced by a reference to October 8,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issued by the Trust with respect to Series McGarret A on November 20,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20,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w:t>
      </w:r>
      <w:r>
        <w:rPr>
          <w:rFonts w:ascii="Times New Roman" w:hAnsi="Times New Roman"/>
          <w:i/>
          <w:sz w:val="24"/>
        </w:rPr>
        <w:t>i</w:t>
      </w:r>
      <w:r>
        <w:rPr>
          <w:rFonts w:ascii="Times New Roman" w:hAnsi="Times New Roman"/>
          <w:sz w:val="24"/>
        </w:rPr>
        <w:t>)</w:t>
        <w:tab/>
        <w:t xml:space="preserve">The reference to December 29, 2000 in Section 3.03(b)(B) is hereby deleted </w:t>
        <w:tab/>
        <w:t>and replaced by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 L.L.C. Agreement</w:t>
      </w:r>
      <w:r>
        <w:rPr>
          <w:rFonts w:ascii="Times New Roman" w:hAnsi="Times New Roman"/>
          <w:b/>
          <w:sz w:val="24"/>
        </w:rPr>
        <w:t xml:space="preserve">.    </w:t>
      </w:r>
      <w:r>
        <w:rPr>
          <w:rFonts w:ascii="Times New Roman" w:hAnsi="Times New Roman"/>
          <w:sz w:val="24"/>
        </w:rPr>
        <w:t>The Sponsor hereby amends the Big Island 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Tranche” shall mean the Tranche (as defined in the Facility Agreement) with respect to Series McGarret A drawn down on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McGarret A drawn down on November 20, 2000, with respect to the Series.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with respect to Series McGarret A issued by the Trust on November 20,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Total Return Swap Confirmation” shall mean the confirmation (as defined in the Facility Agreement) dated March 31, 2000 and executed by the Trust and Enron with respect to the Series Tranche, as amended by the Omnibus Amendment dated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reference to “the Master Agreement between us dated as of March 31, 2000” in the second paragraph is hereby deleted and replaced with a reference to “the Master Agreement between us 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Applicable Tranche” means the Tranche under the Facility Agreement drawn down on November 20,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b/>
          <w:sz w:val="24"/>
          <w:u w:val="double"/>
          <w:ins w:id="1" w:author=""/>
        </w:rPr>
      </w:pPr>
      <w:r>
        <w:rPr>
          <w:rFonts w:ascii="Times New Roman" w:hAnsi="Times New Roman"/>
          <w:sz w:val="24"/>
        </w:rPr>
        <w:t>(c)</w:t>
      </w:r>
      <w:ins w:id="0" w:author="">
        <w:r>
          <w:rPr>
            <w:rFonts w:ascii="Times New Roman" w:hAnsi="Times New Roman"/>
            <w:b/>
            <w:sz w:val="24"/>
            <w:u w:val="double"/>
          </w:rPr>
          <w:tab/>
          <w:t>The definition of “Disposition Date” in Section 1.2 is hereby deleted and replaced in its entirety by the following:</w:t>
        </w:r>
      </w:ins>
    </w:p>
    <w:p>
      <w:pPr>
        <w:pStyle w:val="Normal"/>
        <w:bidi w:val="0"/>
        <w:jc w:val="both"/>
        <w:rPr>
          <w:rFonts w:ascii="Times New Roman" w:hAnsi="Times New Roman"/>
          <w:b/>
          <w:sz w:val="24"/>
          <w:u w:val="double"/>
          <w:ins w:id="3" w:author=""/>
        </w:rPr>
      </w:pPr>
      <w:ins w:id="2" w:author="">
        <w:r>
          <w:rPr>
            <w:rFonts w:ascii="Times New Roman" w:hAnsi="Times New Roman"/>
            <w:b/>
            <w:sz w:val="24"/>
            <w:u w:val="double"/>
          </w:rPr>
        </w:r>
      </w:ins>
    </w:p>
    <w:p>
      <w:pPr>
        <w:pStyle w:val="Normal"/>
        <w:bidi w:val="0"/>
        <w:ind w:hanging="0" w:start="1440"/>
        <w:jc w:val="both"/>
        <w:rPr>
          <w:rFonts w:ascii="Times New Roman" w:hAnsi="Times New Roman"/>
          <w:b/>
          <w:sz w:val="24"/>
          <w:u w:val="double"/>
          <w:ins w:id="6" w:author=""/>
        </w:rPr>
      </w:pPr>
      <w:ins w:id="4" w:author="">
        <w:r>
          <w:rPr>
            <w:rFonts w:ascii="Times New Roman" w:hAnsi="Times New Roman"/>
            <w:b/>
            <w:i/>
            <w:sz w:val="24"/>
            <w:u w:val="double"/>
          </w:rPr>
          <w:t>“</w:t>
        </w:r>
      </w:ins>
      <w:ins w:id="5" w:author="">
        <w:r>
          <w:rPr>
            <w:rFonts w:ascii="Times New Roman" w:hAnsi="Times New Roman"/>
            <w:b/>
            <w:i/>
            <w:sz w:val="24"/>
            <w:u w:val="double"/>
          </w:rPr>
          <w:t>Disposition Date” means the date on which the Applicable Class B Interest is purchased pursuant to the auction procedure set out in Section 3.03(b) of the Series Asset LLC Agreement if such date occurs after the date on which all outstanding principal, accrued interest and any other amounts owed to the Lenders pursuant to the Facility Agreement with respect to the Applicable Tranche have been paid in full.</w:t>
        </w:r>
      </w:ins>
    </w:p>
    <w:p>
      <w:pPr>
        <w:pStyle w:val="Normal"/>
        <w:bidi w:val="0"/>
        <w:jc w:val="both"/>
        <w:rPr>
          <w:rFonts w:ascii="Times New Roman" w:hAnsi="Times New Roman"/>
          <w:b/>
          <w:sz w:val="24"/>
          <w:u w:val="double"/>
          <w:ins w:id="8" w:author=""/>
        </w:rPr>
      </w:pPr>
      <w:ins w:id="7" w:author="">
        <w:r>
          <w:rPr>
            <w:rFonts w:ascii="Times New Roman" w:hAnsi="Times New Roman"/>
            <w:b/>
            <w:sz w:val="24"/>
            <w:u w:val="double"/>
          </w:rPr>
        </w:r>
      </w:ins>
    </w:p>
    <w:p>
      <w:pPr>
        <w:pStyle w:val="Normal"/>
        <w:bidi w:val="0"/>
        <w:ind w:hanging="0" w:start="720"/>
        <w:jc w:val="both"/>
        <w:rPr>
          <w:rFonts w:ascii="Times New Roman" w:hAnsi="Times New Roman"/>
          <w:sz w:val="24"/>
        </w:rPr>
      </w:pPr>
      <w:ins w:id="9" w:author="">
        <w:r>
          <w:rPr>
            <w:rFonts w:ascii="Times New Roman" w:hAnsi="Times New Roman"/>
            <w:b/>
            <w:sz w:val="24"/>
            <w:u w:val="double"/>
          </w:rPr>
          <w:t>(d)</w:t>
        </w:r>
      </w:ins>
      <w:r>
        <w:rPr>
          <w:rFonts w:ascii="Times New Roman" w:hAnsi="Times New Roman"/>
          <w:sz w:val="24"/>
        </w:rPr>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0" w:author="">
        <w:r>
          <w:rPr>
            <w:rFonts w:ascii="Times New Roman" w:hAnsi="Times New Roman"/>
            <w:strike/>
            <w:sz w:val="24"/>
          </w:rPr>
          <w:t>(d)</w:t>
        </w:r>
      </w:ins>
      <w:ins w:id="11" w:author="">
        <w:r>
          <w:rPr>
            <w:rFonts w:ascii="Times New Roman" w:hAnsi="Times New Roman"/>
            <w:b/>
            <w:sz w:val="24"/>
            <w:u w:val="double"/>
          </w:rPr>
          <w:t>(e)</w:t>
        </w:r>
      </w:ins>
      <w:r>
        <w:rPr>
          <w:rFonts w:ascii="Times New Roman" w:hAnsi="Times New Roman"/>
          <w:sz w:val="24"/>
        </w:rPr>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2" w:author="">
        <w:r>
          <w:rPr>
            <w:rFonts w:ascii="Times New Roman" w:hAnsi="Times New Roman"/>
            <w:strike/>
            <w:sz w:val="24"/>
          </w:rPr>
          <w:t>(e)</w:t>
        </w:r>
      </w:ins>
      <w:ins w:id="13" w:author="">
        <w:r>
          <w:rPr>
            <w:rFonts w:ascii="Times New Roman" w:hAnsi="Times New Roman"/>
            <w:b/>
            <w:sz w:val="24"/>
            <w:u w:val="double"/>
          </w:rPr>
          <w:t>(f)</w:t>
        </w:r>
      </w:ins>
      <w:r>
        <w:rPr>
          <w:rFonts w:ascii="Times New Roman" w:hAnsi="Times New Roman"/>
          <w:sz w:val="24"/>
        </w:rPr>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4" w:author="">
        <w:r>
          <w:rPr>
            <w:rFonts w:ascii="Times New Roman" w:hAnsi="Times New Roman"/>
            <w:strike/>
            <w:sz w:val="24"/>
          </w:rPr>
          <w:t>(f)</w:t>
        </w:r>
      </w:ins>
      <w:ins w:id="15" w:author="">
        <w:r>
          <w:rPr>
            <w:rFonts w:ascii="Times New Roman" w:hAnsi="Times New Roman"/>
            <w:b/>
            <w:sz w:val="24"/>
            <w:u w:val="double"/>
          </w:rPr>
          <w:t>(g)</w:t>
        </w:r>
      </w:ins>
      <w:r>
        <w:rPr>
          <w:rFonts w:ascii="Times New Roman" w:hAnsi="Times New Roman"/>
          <w:sz w:val="24"/>
        </w:rPr>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6" w:author="">
        <w:r>
          <w:rPr>
            <w:rFonts w:ascii="Times New Roman" w:hAnsi="Times New Roman"/>
            <w:strike/>
            <w:sz w:val="24"/>
          </w:rPr>
          <w:t>(g)</w:t>
        </w:r>
      </w:ins>
      <w:ins w:id="17" w:author="">
        <w:r>
          <w:rPr>
            <w:rFonts w:ascii="Times New Roman" w:hAnsi="Times New Roman"/>
            <w:b/>
            <w:sz w:val="24"/>
            <w:u w:val="double"/>
          </w:rPr>
          <w:t>(h)</w:t>
        </w:r>
      </w:ins>
      <w:r>
        <w:rPr>
          <w:rFonts w:ascii="Times New Roman" w:hAnsi="Times New Roman"/>
          <w:sz w:val="24"/>
        </w:rPr>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Fixed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Floating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tabs>
          <w:tab w:val="left" w:pos="720" w:leader="none"/>
          <w:tab w:val="left" w:pos="1440" w:leader="none"/>
        </w:tabs>
        <w:bidi w:val="0"/>
        <w:ind w:hanging="1440" w:start="1440"/>
        <w:jc w:val="both"/>
        <w:rPr>
          <w:rFonts w:ascii="Times New Roman" w:hAnsi="Times New Roman"/>
          <w:i/>
          <w:i/>
          <w:sz w:val="24"/>
        </w:rPr>
      </w:pPr>
      <w:r>
        <w:rPr>
          <w:rFonts w:ascii="Times New Roman" w:hAnsi="Times New Roman"/>
          <w:i/>
          <w:sz w:val="24"/>
        </w:rPr>
        <w:tab/>
        <w:tab/>
        <w:t>“Initial Floating Payment Date (Breakage Costs)</w:t>
      </w:r>
      <w:ins w:id="18" w:author="">
        <w:r>
          <w:rPr>
            <w:rFonts w:ascii="Times New Roman" w:hAnsi="Times New Roman"/>
            <w:b/>
            <w:i/>
            <w:sz w:val="24"/>
            <w:u w:val="double"/>
          </w:rPr>
          <w:t>”</w:t>
        </w:r>
      </w:ins>
      <w:r>
        <w:rPr>
          <w:rFonts w:ascii="Times New Roman" w:hAnsi="Times New Roman"/>
          <w:i/>
          <w:sz w:val="24"/>
        </w:rPr>
        <w:t xml:space="preserve"> means any date after the Initial Floating Payment Date but on or before November 27, 2000 on which breakage costs are due to the Lenders with respect to payments made on the Initial Floating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March 31, 2000, with respect to the Series McGarret A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9" w:author="">
        <w:r>
          <w:rPr>
            <w:rFonts w:ascii="Times New Roman" w:hAnsi="Times New Roman"/>
            <w:strike/>
            <w:sz w:val="24"/>
          </w:rPr>
          <w:t>(h)</w:t>
        </w:r>
      </w:ins>
      <w:ins w:id="20" w:author="">
        <w:r>
          <w:rPr>
            <w:rFonts w:ascii="Times New Roman" w:hAnsi="Times New Roman"/>
            <w:b/>
            <w:sz w:val="24"/>
            <w:u w:val="double"/>
          </w:rPr>
          <w:t>(i)</w:t>
        </w:r>
      </w:ins>
      <w:r>
        <w:rPr>
          <w:rFonts w:ascii="Times New Roman" w:hAnsi="Times New Roman"/>
          <w:sz w:val="24"/>
        </w:rPr>
        <w:tab/>
        <w:t>The definition of “Fixed Payment Dates” in Section 2.2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1" w:author="">
        <w:r>
          <w:rPr>
            <w:rFonts w:ascii="Times New Roman" w:hAnsi="Times New Roman"/>
            <w:strike/>
            <w:sz w:val="24"/>
          </w:rPr>
          <w:t>(i)</w:t>
        </w:r>
      </w:ins>
      <w:ins w:id="22" w:author="">
        <w:r>
          <w:rPr>
            <w:rFonts w:ascii="Times New Roman" w:hAnsi="Times New Roman"/>
            <w:b/>
            <w:sz w:val="24"/>
            <w:u w:val="double"/>
          </w:rPr>
          <w:t>(j)</w:t>
        </w:r>
      </w:ins>
      <w:r>
        <w:rPr>
          <w:rFonts w:ascii="Times New Roman" w:hAnsi="Times New Roman"/>
          <w:sz w:val="24"/>
        </w:rPr>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3" w:author="">
        <w:r>
          <w:rPr>
            <w:rFonts w:ascii="Times New Roman" w:hAnsi="Times New Roman"/>
            <w:strike/>
            <w:sz w:val="24"/>
          </w:rPr>
          <w:t>(j)</w:t>
        </w:r>
      </w:ins>
      <w:ins w:id="24" w:author="">
        <w:r>
          <w:rPr>
            <w:rFonts w:ascii="Times New Roman" w:hAnsi="Times New Roman"/>
            <w:b/>
            <w:sz w:val="24"/>
            <w:u w:val="double"/>
          </w:rPr>
          <w:t>(k)</w:t>
        </w:r>
      </w:ins>
      <w:r>
        <w:rPr>
          <w:rFonts w:ascii="Times New Roman" w:hAnsi="Times New Roman"/>
          <w:sz w:val="24"/>
        </w:rPr>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5" w:author="">
        <w:r>
          <w:rPr>
            <w:rFonts w:ascii="Times New Roman" w:hAnsi="Times New Roman"/>
            <w:strike/>
            <w:sz w:val="24"/>
          </w:rPr>
          <w:t>(k)</w:t>
        </w:r>
      </w:ins>
      <w:ins w:id="26" w:author="">
        <w:r>
          <w:rPr>
            <w:rFonts w:ascii="Times New Roman" w:hAnsi="Times New Roman"/>
            <w:b/>
            <w:sz w:val="24"/>
            <w:u w:val="double"/>
          </w:rPr>
          <w:t>(</w:t>
        </w:r>
      </w:ins>
      <w:ins w:id="27" w:author="">
        <w:r>
          <w:rPr>
            <w:rFonts w:ascii="Times New Roman" w:hAnsi="Times New Roman"/>
            <w:b/>
            <w:i/>
            <w:sz w:val="24"/>
            <w:u w:val="double"/>
          </w:rPr>
          <w:t>l</w:t>
        </w:r>
      </w:ins>
      <w:ins w:id="28" w:author="">
        <w:r>
          <w:rPr>
            <w:rFonts w:ascii="Times New Roman" w:hAnsi="Times New Roman"/>
            <w:b/>
            <w:sz w:val="24"/>
            <w:u w:val="double"/>
          </w:rPr>
          <w:t>)</w:t>
        </w:r>
      </w:ins>
      <w:r>
        <w:rPr>
          <w:rFonts w:ascii="Times New Roman" w:hAnsi="Times New Roman"/>
          <w:sz w:val="24"/>
        </w:rPr>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 each Initial Floating Payment Date (Breakage Costs)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9" w:author="">
        <w:r>
          <w:rPr>
            <w:rFonts w:ascii="Times New Roman" w:hAnsi="Times New Roman"/>
            <w:strike/>
            <w:sz w:val="24"/>
          </w:rPr>
          <w:t>(l)</w:t>
        </w:r>
      </w:ins>
      <w:ins w:id="30" w:author="">
        <w:r>
          <w:rPr>
            <w:rFonts w:ascii="Times New Roman" w:hAnsi="Times New Roman"/>
            <w:b/>
            <w:sz w:val="24"/>
            <w:u w:val="double"/>
          </w:rPr>
          <w:t>(m)</w:t>
        </w:r>
      </w:ins>
      <w:r>
        <w:rPr>
          <w:rFonts w:ascii="Times New Roman" w:hAnsi="Times New Roman"/>
          <w:sz w:val="24"/>
        </w:rPr>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1" w:author="">
        <w:r>
          <w:rPr>
            <w:rFonts w:ascii="Times New Roman" w:hAnsi="Times New Roman"/>
            <w:strike/>
            <w:sz w:val="24"/>
          </w:rPr>
          <w:t>(m)</w:t>
        </w:r>
      </w:ins>
      <w:ins w:id="32" w:author="">
        <w:r>
          <w:rPr>
            <w:rFonts w:ascii="Times New Roman" w:hAnsi="Times New Roman"/>
            <w:b/>
            <w:sz w:val="24"/>
            <w:u w:val="double"/>
          </w:rPr>
          <w:t>(n)</w:t>
        </w:r>
      </w:ins>
      <w:r>
        <w:rPr>
          <w:rFonts w:ascii="Times New Roman" w:hAnsi="Times New Roman"/>
          <w:sz w:val="24"/>
        </w:rPr>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 and</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720"/>
        <w:jc w:val="both"/>
        <w:rPr>
          <w:rFonts w:ascii="Times New Roman" w:hAnsi="Times New Roman"/>
          <w:sz w:val="24"/>
        </w:rPr>
      </w:pPr>
      <w:r>
        <w:rPr>
          <w:rFonts w:ascii="Times New Roman" w:hAnsi="Times New Roman"/>
          <w:sz w:val="24"/>
        </w:rPr>
        <w:tab/>
      </w:r>
      <w:ins w:id="33" w:author="">
        <w:r>
          <w:rPr>
            <w:rFonts w:ascii="Times New Roman" w:hAnsi="Times New Roman"/>
            <w:strike/>
            <w:sz w:val="24"/>
          </w:rPr>
          <w:t>(n)</w:t>
        </w:r>
      </w:ins>
      <w:ins w:id="34" w:author="">
        <w:r>
          <w:rPr>
            <w:rFonts w:ascii="Times New Roman" w:hAnsi="Times New Roman"/>
            <w:b/>
            <w:sz w:val="24"/>
            <w:u w:val="double"/>
          </w:rPr>
          <w:t>(o)</w:t>
        </w:r>
      </w:ins>
      <w:r>
        <w:rPr>
          <w:rFonts w:ascii="Times New Roman" w:hAnsi="Times New Roman"/>
          <w:sz w:val="24"/>
        </w:rPr>
        <w:tab/>
        <w:t>The following phrase is hereby added as clause (iv)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(iv) on the Initial Floating Payment Date (Breakage Costs), any breakage costs due to the Lenders under the Facility Agreement with respect to the Applicable Tranche incurred with respect to payments made on the Initial Floating Payment Date.</w:t>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March 31, 2000 with respect to the auction of the Trust’s Class B Member Interest in McGarret I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b/>
          <w:sz w:val="24"/>
          <w:u w:val="single"/>
        </w:rPr>
        <w:t>Invalidity of any Provisions</w:t>
      </w:r>
      <w:r>
        <w:rPr>
          <w:rFonts w:ascii="Times New Roman" w:hAnsi="Times New Roman"/>
          <w:b/>
          <w:sz w:val="24"/>
        </w:rPr>
        <w:t xml:space="preserve">.    </w:t>
      </w:r>
      <w:r>
        <w:rPr>
          <w:rFonts w:ascii="Times New Roman" w:hAnsi="Times New Roman"/>
          <w:sz w:val="24"/>
        </w:rPr>
        <w:t>If any of the provisions of this Amendment become invalid, illegal or unenforceable in any respect under any law, the validity, legality and enforceability of the remaining provisions shall not in any way be affected or impaired.</w:t>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s>
        <w:bidi w:val="0"/>
        <w:ind w:hanging="1440" w:start="1440"/>
        <w:jc w:val="both"/>
        <w:rPr>
          <w:rFonts w:ascii="Times New Roman" w:hAnsi="Times New Roman"/>
          <w:sz w:val="24"/>
        </w:rPr>
      </w:pPr>
      <w:r>
        <w:rPr>
          <w:rFonts w:ascii="Times New Roman" w:hAnsi="Times New Roman"/>
          <w:sz w:val="24"/>
        </w:rPr>
        <w:tab/>
        <w:t>By:</w:t>
        <w:tab/>
        <w:t>Wilmington Trust Company, as</w:t>
      </w:r>
    </w:p>
    <w:p>
      <w:pPr>
        <w:pStyle w:val="Normal"/>
        <w:keepNext w:val="true"/>
        <w:bidi w:val="0"/>
        <w:ind w:hanging="0" w:start="1440"/>
        <w:jc w:val="both"/>
        <w:rPr>
          <w:rFonts w:ascii="Times New Roman" w:hAnsi="Times New Roman"/>
          <w:sz w:val="24"/>
        </w:rPr>
      </w:pPr>
      <w:r>
        <w:rPr>
          <w:rFonts w:ascii="Times New Roman" w:hAnsi="Times New Roman"/>
          <w:sz w:val="24"/>
        </w:rPr>
        <w:t xml:space="preserve"> </w:t>
      </w:r>
      <w:r>
        <w:rPr>
          <w:rFonts w:ascii="Times New Roman" w:hAnsi="Times New Roman"/>
          <w:sz w:val="24"/>
        </w:rPr>
        <w:t>Owner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tabs>
          <w:tab w:val="clear" w:pos="720"/>
          <w:tab w:val="left" w:pos="-4319" w:leader="none"/>
        </w:tabs>
        <w:bidi w:val="0"/>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its managing member</w:t>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              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keepNext w:val="true"/>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35" w:author="">
        <w:r>
          <w:rPr>
            <w:rFonts w:ascii="Times New Roman" w:hAnsi="Times New Roman"/>
            <w:strike/>
            <w:sz w:val="24"/>
          </w:rPr>
          <w:t>266755.5</w:t>
        </w:r>
      </w:ins>
      <w:r>
        <w:rPr>
          <w:rFonts w:ascii="Times New Roman" w:hAnsi="Times New Roman"/>
          <w:sz w:val="24"/>
        </w:rPr>
        <w:t xml:space="preserve"> </w:t>
      </w:r>
      <w:ins w:id="36" w:author="">
        <w:r>
          <w:rPr>
            <w:rFonts w:ascii="Times New Roman" w:hAnsi="Times New Roman"/>
            <w:b/>
            <w:sz w:val="24"/>
            <w:u w:val="double"/>
          </w:rPr>
          <w:t>266755.6</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(Series McGarret A)/Omnibus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C:\DOCUME~1\KRECC\LOCALS~1\TEMP\DAL_266755_5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C:\DOCUME~1\KRECC\LOCALS~1\TEMP\DAL_266755_6</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13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4"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5"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6" name="Frame19"/>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7" name="Frame20"/>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(Series McGarret A)/Omnibus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253365" cy="175260"/>
              <wp:effectExtent l="0" t="0" r="0" b="0"/>
              <wp:wrapTopAndBottom/>
              <wp:docPr id="3"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DAL:266755.6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