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filename=266242.doc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}\notabind\margl1440\margr1440\widowctrl\hyphhotz936\ftnbj\fet2\ftnrstpg\aftnnar\revbar1\viewkind1\lytprtmet\subfontbysize \sectd \sbknone\pgndec\headery1440\footery1440\endnhere\endnhere\titlepg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DAL:266242.4\par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HAWAII I 125-0\par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BENEFICIAL INTEREST CERTIFICATE}{\plain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THIS BENEFICIAL INTEREST CERTIFICATE IS SUBORDINATED IN RIGHT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IN ALL RESPECTS TO THE NOTES REFERRED TO WITHIN. 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 INTEREST CERTIFICATE IS SUBJECT TO RESTRICTIONS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AS FOLLOWS:}{\plain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This Beneficial Interest Certificate has not been registered under the Securities Act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1933, as amended (the {\u8220\'93}}{\plain \fs24 \b\ul Securities Act}{\plain \fs24 \b {\u8221\'94}), or any state securities laws.  The trust has not been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registered under the Investment Company Act of 1940, as amended (the {\u8220\'93}}{\plain \fs24 \b\ul Investment Company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Act}{\plain \fs24 \b {\u8221\'94}).  Sales or other transfers of this Beneficial Interest Certificate may be made only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accredited investors as defined under Rule 501 under the Securities Act, who are {\u8220\'93}U.S.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Persons,{\u8221\'94} who are not {\u8220\'93}Enron Competitors{\u8221\'94} and who are not {\u8220\'93}Benefit Plan Investors{\u8221\'94} as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are defined below.\par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By its acceptance, directly or through a nominee, of this Beneficial Interest Certificate,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purchaser will be deemed {\*\bkmkstart Redline_32_1}{\*\bkmkend Redline_32_1}}{\plain \fs24 \b\uldb\revised (a)}{\plain \fs24 \b  to have represented to the owner trustee (as defined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Agreement by and between Wilmington Trust Company, as owner trustee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holders of Beneficial Interest Certificates from time to time thereunder, dated as of November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17, 2000 (Hawaii I 125-0 Trust) (the {\u8220\'93}}{\plain \fs24 \b\ul Trust Agreement{\u8221\'94}}{\plain \fs24 \b )) and to Enron Corp., as distributor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(the {\u8220\'93}}{\plain \fs24 \b\ul Certificate Distributor}{\plain \fs24 \b {\u8221\'94}) that it is an accredited investor and is acquiring such Beneficial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Certificate for its own account (and not for the account of others) or as a fiduciary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 for others (which others also must be accredited investors), and (b) to have agreed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resale or other transfer of this Beneficial Interest Certificate will be made only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of the owner trustee (which may be withheld if the owner trustee determines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may result in more than 45 persons holding securities of the trust or otherwise require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of the trust under the Investment Company Act), and (i) the owner trustee,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behalf of the Hawaii I 125-0 Trust, or (ii) an accredited investor in a transaction which meets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requirements of Section 4(2) of the Securities Act; provided that the agreement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purchaser is subject to any requirement of law that the disposition of the purchaser{\u8217\'92}s property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at all times be and remain within its control.  Any resale or other transfer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 Interest Certificate described in (ii) immediately above requires the submission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owner trustee of a duly completed investment letter, in the form available from the owner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trustee.  Any resale or other transfer, or attempted resale or other transfer, of this Beneficial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Certificate which is not made in compliance with applicable transfer restrictions will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be recognized by the  owner trustee.\par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By its acceptance, directly or through a nominee, of this Beneficial Interest Certificate,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purchaser will be deemed to have represented to the owner trustee and the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Distributor that it (a) is a U.S. Person, (b) is not an Enron Competitor and (c) is not a Benefit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Investor.\par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