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bookmarkStart w:id="0" w:name="BM_1_"/>
      <w:bookmarkEnd w:id="0"/>
      <w:r>
        <w:rPr>
          <w:rFonts w:ascii="Times New Roman" w:hAnsi="Times New Roman"/>
          <w:b/>
          <w:sz w:val="24"/>
          <w:u w:val="single"/>
        </w:rPr>
        <w:t>REIMBURSEMENT AND DISCLOSURE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REIMBURSEMENT AND DISCLOSURE AGREEMENT is entered into this </w:t>
      </w:r>
      <w:ins w:id="0" w:author="">
        <w:r>
          <w:rPr>
            <w:rFonts w:ascii="Times New Roman" w:hAnsi="Times New Roman"/>
            <w:strike/>
            <w:sz w:val="24"/>
          </w:rPr>
          <w:t>17th</w:t>
        </w:r>
      </w:ins>
      <w:r>
        <w:rPr>
          <w:rFonts w:ascii="Times New Roman" w:hAnsi="Times New Roman"/>
          <w:sz w:val="24"/>
        </w:rPr>
        <w:t xml:space="preserve"> </w:t>
      </w:r>
      <w:ins w:id="1" w:author="">
        <w:r>
          <w:rPr>
            <w:rFonts w:ascii="Times New Roman" w:hAnsi="Times New Roman"/>
            <w:b/>
            <w:sz w:val="24"/>
            <w:u w:val="double"/>
          </w:rPr>
          <w:t>20</w:t>
        </w:r>
      </w:ins>
      <w:ins w:id="2" w:author="">
        <w:r>
          <w:rPr>
            <w:rFonts w:ascii="Times New Roman" w:hAnsi="Times New Roman"/>
            <w:b/>
            <w:sz w:val="24"/>
            <w:u w:val="double"/>
            <w:vertAlign w:val="superscript"/>
          </w:rPr>
          <w:t>th</w:t>
        </w:r>
      </w:ins>
      <w:r>
        <w:rPr>
          <w:rFonts w:ascii="Times New Roman" w:hAnsi="Times New Roman"/>
          <w:sz w:val="24"/>
        </w:rPr>
        <w:t xml:space="preserve"> day of November, 2000, by and between (a) Hawaii I 125-0 Trust (the “</w:t>
      </w:r>
      <w:r>
        <w:rPr>
          <w:rFonts w:ascii="Times New Roman" w:hAnsi="Times New Roman"/>
          <w:sz w:val="24"/>
          <w:u w:val="single"/>
        </w:rPr>
        <w:t>Trust</w:t>
      </w:r>
      <w:r>
        <w:rPr>
          <w:rFonts w:ascii="Times New Roman" w:hAnsi="Times New Roman"/>
          <w:sz w:val="24"/>
        </w:rPr>
        <w:t xml:space="preserve">”), a trust established under the laws of the State of Delaware pursuant to the Trust Agreement dated as of November </w:t>
      </w:r>
      <w:ins w:id="3" w:author="">
        <w:r>
          <w:rPr>
            <w:rFonts w:ascii="Times New Roman" w:hAnsi="Times New Roman"/>
            <w:strike/>
            <w:sz w:val="24"/>
          </w:rPr>
          <w:t>17</w:t>
        </w:r>
      </w:ins>
      <w:r>
        <w:rPr>
          <w:rFonts w:ascii="Times New Roman" w:hAnsi="Times New Roman"/>
          <w:sz w:val="24"/>
        </w:rPr>
        <w:t xml:space="preserve"> </w:t>
      </w:r>
      <w:ins w:id="4" w:author="">
        <w:r>
          <w:rPr>
            <w:rFonts w:ascii="Times New Roman" w:hAnsi="Times New Roman"/>
            <w:b/>
            <w:sz w:val="24"/>
            <w:u w:val="double"/>
          </w:rPr>
          <w:t>20</w:t>
        </w:r>
      </w:ins>
      <w:r>
        <w:rPr>
          <w:rFonts w:ascii="Times New Roman" w:hAnsi="Times New Roman"/>
          <w:sz w:val="24"/>
        </w:rPr>
        <w:t>, 2000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Duties of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consulting with the Owner Trustee with respect to the taxable year of the Trust pursuant to Section 5.05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w:t>
        <w:tab/>
        <w:t>consulting with the Owner Trustee with respect to selecting Eligible Investments pursuant to Section 5.04(a)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(iii)</w:t>
        <w:tab/>
        <w:t>appointing a successor Owner Trustee upon the resignation or removal of the Owner Trustee pursuant to Section 10.01(a)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(v)</w:t>
        <w:tab/>
        <w:t>preparing and forwarding to the Owner Trustee the federal and state income tax returns and information statements in respect of the Trust referred to in Section 5.05 of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4.</w:t>
        <w:tab/>
      </w:r>
      <w:r>
        <w:rPr>
          <w:rFonts w:ascii="Times New Roman" w:hAnsi="Times New Roman"/>
          <w:sz w:val="24"/>
          <w:u w:val="single"/>
        </w:rPr>
        <w:t>Independent Contractor</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5.</w:t>
        <w:tab/>
      </w:r>
      <w:r>
        <w:rPr>
          <w:rFonts w:ascii="Times New Roman" w:hAnsi="Times New Roman"/>
          <w:sz w:val="24"/>
          <w:u w:val="single"/>
        </w:rPr>
        <w:t>Limits of Reimbursement and Disclosure Agent’s Responsibility; Indemnification of the Reimbursement and Disclosure Agent</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Other than with respect to its obligations under Section 6 hereof, the Reimbursement and Disclosure Agent, its directors, officers, shareholders and employees and its affiliates shall not be liable to the Owner Trustee, the Trust, the Certificate 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ascii="Times New Roman" w:hAnsi="Times New Roman"/>
          <w:sz w:val="24"/>
          <w:u w:val="single"/>
        </w:rPr>
        <w:t>Standard of Care</w:t>
      </w:r>
      <w:r>
        <w:rPr>
          <w:rFonts w:ascii="Times New Roman" w:hAnsi="Times New Roman"/>
          <w:sz w:val="24"/>
        </w:rPr>
        <w:t>”).    The Reimbursement and Disclosure Agent assumes no responsibility under this Agreement other than to render the services called for hereunder in accordance with the Standard of Care.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rFonts w:ascii="Times New Roman" w:hAnsi="Times New Roman"/>
          <w:b/>
          <w:sz w:val="24"/>
        </w:rPr>
        <w:t>THE INDEMNITY SET FORTH HEREIN SHALL APPLY WHETHER OR NOT ANY OF THE MATTERS SUBJECT TO SUCH INDEMNITY ARISE FROM THE SOLE OR CONCURRENT NEGLIGENCE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6.</w:t>
        <w:tab/>
      </w:r>
      <w:r>
        <w:rPr>
          <w:rFonts w:ascii="Times New Roman" w:hAnsi="Times New Roman"/>
          <w:sz w:val="24"/>
          <w:u w:val="single"/>
        </w:rPr>
        <w:t>Expenses and Indemnification of the Owner Trustee</w:t>
      </w:r>
      <w:r>
        <w:rPr>
          <w:rFonts w:ascii="Times New Roman" w:hAnsi="Times New Roman"/>
          <w:sz w:val="24"/>
        </w:rPr>
        <w: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out-of-pocket costs and expenses actually incurred by the Owner Trustee arising out of collection and/or enforcement and/or similar action in respect of the Transfer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5.03 (d) of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ascii="Times New Roman" w:hAnsi="Times New Roman"/>
          <w:sz w:val="24"/>
          <w:u w:val="single"/>
        </w:rPr>
        <w:t>Indemnified Party</w:t>
      </w:r>
      <w:r>
        <w:rPr>
          <w:rFonts w:ascii="Times New Roman" w:hAnsi="Times New Roman"/>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rFonts w:ascii="Times New Roman" w:hAnsi="Times New Roman"/>
          <w:b/>
          <w:sz w:val="24"/>
        </w:rPr>
        <w:t>THE INDEMNITY SET FORTH HEREIN SHALL APPLY WHETHER OR NOT ANY OF THE MATTERS SUBJECT TO SUCH INDEMNITY ARISE FROM THE SOLE OR CONCURRENT NEGLIGENCE OF AN INDEMNIFIED PARTY</w:t>
      </w:r>
      <w:r>
        <w:rPr>
          <w:rFonts w:ascii="Times New Roman" w:hAnsi="Times New Roman"/>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r>
      <w:r>
        <w:rPr>
          <w:rFonts w:ascii="Times New Roman" w:hAnsi="Times New Roman"/>
          <w:sz w:val="24"/>
          <w:u w:val="single"/>
        </w:rPr>
        <w:t>Prepayment of Advances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8.</w:t>
        <w:tab/>
      </w:r>
      <w:r>
        <w:rPr>
          <w:rFonts w:ascii="Times New Roman" w:hAnsi="Times New Roman"/>
          <w:sz w:val="24"/>
          <w:u w:val="single"/>
        </w:rPr>
        <w:t>Term of Agreement; Termination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bidi w:val="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9.</w:t>
        <w:tab/>
      </w:r>
      <w:r>
        <w:rPr>
          <w:rFonts w:ascii="Times New Roman" w:hAnsi="Times New Roman"/>
          <w:sz w:val="24"/>
          <w:u w:val="single"/>
        </w:rPr>
        <w:t>Non-Exclusivity</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10.</w:t>
        <w:tab/>
      </w:r>
      <w:r>
        <w:rPr>
          <w:rFonts w:ascii="Times New Roman" w:hAnsi="Times New Roman"/>
          <w:sz w:val="24"/>
          <w:u w:val="single"/>
        </w:rPr>
        <w:t>Notices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If to the Trust: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Hawaii I 125-0 Trust</w:t>
      </w:r>
    </w:p>
    <w:p>
      <w:pPr>
        <w:pStyle w:val="Normal"/>
        <w:keepNext w:val="true"/>
        <w:keepLines/>
        <w:bidi w:val="0"/>
        <w:jc w:val="both"/>
        <w:rPr>
          <w:rFonts w:ascii="Times New Roman" w:hAnsi="Times New Roman"/>
          <w:sz w:val="24"/>
        </w:rPr>
      </w:pPr>
      <w:r>
        <w:rPr>
          <w:rFonts w:ascii="Times New Roman" w:hAnsi="Times New Roman"/>
          <w:sz w:val="24"/>
        </w:rPr>
        <w:tab/>
        <w:tab/>
        <w:t>c/o Wilmington Trust Company</w:t>
      </w:r>
    </w:p>
    <w:p>
      <w:pPr>
        <w:pStyle w:val="Normal"/>
        <w:keepNext w:val="true"/>
        <w:keepLines/>
        <w:bidi w:val="0"/>
        <w:jc w:val="both"/>
        <w:rPr>
          <w:rFonts w:ascii="Times New Roman" w:hAnsi="Times New Roman"/>
          <w:sz w:val="24"/>
        </w:rPr>
      </w:pPr>
      <w:r>
        <w:rPr>
          <w:rFonts w:ascii="Times New Roman" w:hAnsi="Times New Roman"/>
          <w:sz w:val="24"/>
        </w:rPr>
        <w:tab/>
        <w:tab/>
        <w:t>1100 North Market Street</w:t>
      </w:r>
    </w:p>
    <w:p>
      <w:pPr>
        <w:pStyle w:val="Normal"/>
        <w:keepNext w:val="true"/>
        <w:keepLines/>
        <w:bidi w:val="0"/>
        <w:jc w:val="both"/>
        <w:rPr>
          <w:rFonts w:ascii="Times New Roman" w:hAnsi="Times New Roman"/>
          <w:sz w:val="24"/>
        </w:rPr>
      </w:pPr>
      <w:r>
        <w:rPr>
          <w:rFonts w:ascii="Times New Roman" w:hAnsi="Times New Roman"/>
          <w:sz w:val="24"/>
        </w:rPr>
        <w:tab/>
        <w:tab/>
        <w:t>Wilmington, Delaware 19890-0001</w:t>
      </w:r>
    </w:p>
    <w:p>
      <w:pPr>
        <w:pStyle w:val="Normal"/>
        <w:keepNext w:val="true"/>
        <w:keepLines/>
        <w:bidi w:val="0"/>
        <w:jc w:val="both"/>
        <w:rPr>
          <w:rFonts w:ascii="Times New Roman" w:hAnsi="Times New Roman"/>
          <w:sz w:val="24"/>
        </w:rPr>
      </w:pPr>
      <w:r>
        <w:rPr>
          <w:rFonts w:ascii="Times New Roman" w:hAnsi="Times New Roman"/>
          <w:sz w:val="24"/>
        </w:rPr>
        <w:tab/>
        <w:tab/>
        <w:t>Attention:</w:t>
        <w:tab/>
        <w:t>Corporate Trust Administration</w:t>
      </w:r>
    </w:p>
    <w:p>
      <w:pPr>
        <w:pStyle w:val="Normal"/>
        <w:keepNext w:val="true"/>
        <w:keepLines/>
        <w:bidi w:val="0"/>
        <w:jc w:val="both"/>
        <w:rPr>
          <w:rFonts w:ascii="Times New Roman" w:hAnsi="Times New Roman"/>
          <w:sz w:val="24"/>
        </w:rPr>
      </w:pPr>
      <w:r>
        <w:rPr>
          <w:rFonts w:ascii="Times New Roman" w:hAnsi="Times New Roman"/>
          <w:sz w:val="24"/>
        </w:rPr>
        <w:tab/>
        <w:tab/>
        <w:t>Fax:</w:t>
        <w:tab/>
        <w:t>(302) 651-8882</w:t>
      </w:r>
    </w:p>
    <w:p>
      <w:pPr>
        <w:pStyle w:val="Normal"/>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If to the Reimbursement and Disclosure Agent:</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ab/>
        <w:t>Enron Corp.</w:t>
      </w:r>
    </w:p>
    <w:p>
      <w:pPr>
        <w:pStyle w:val="Normal"/>
        <w:keepNext w:val="true"/>
        <w:keepLines/>
        <w:bidi w:val="0"/>
        <w:jc w:val="both"/>
        <w:rPr>
          <w:rFonts w:ascii="Times New Roman" w:hAnsi="Times New Roman"/>
          <w:sz w:val="24"/>
        </w:rPr>
      </w:pPr>
      <w:r>
        <w:rPr>
          <w:rFonts w:ascii="Times New Roman" w:hAnsi="Times New Roman"/>
          <w:sz w:val="24"/>
        </w:rPr>
        <w:tab/>
        <w:tab/>
        <w:t>1400 Smith Street</w:t>
      </w:r>
    </w:p>
    <w:p>
      <w:pPr>
        <w:pStyle w:val="Normal"/>
        <w:keepNext w:val="true"/>
        <w:keepLines/>
        <w:bidi w:val="0"/>
        <w:jc w:val="both"/>
        <w:rPr>
          <w:rFonts w:ascii="Times New Roman" w:hAnsi="Times New Roman"/>
          <w:sz w:val="24"/>
        </w:rPr>
      </w:pPr>
      <w:r>
        <w:rPr>
          <w:rFonts w:ascii="Times New Roman" w:hAnsi="Times New Roman"/>
          <w:sz w:val="24"/>
        </w:rPr>
        <w:tab/>
        <w:tab/>
        <w:t>Houston, Texas 77002</w:t>
      </w:r>
    </w:p>
    <w:p>
      <w:pPr>
        <w:pStyle w:val="Normal"/>
        <w:keepNext w:val="true"/>
        <w:keepLines/>
        <w:bidi w:val="0"/>
        <w:jc w:val="both"/>
        <w:rPr>
          <w:rFonts w:ascii="Times New Roman" w:hAnsi="Times New Roman"/>
          <w:sz w:val="24"/>
        </w:rPr>
      </w:pPr>
      <w:r>
        <w:rPr>
          <w:rFonts w:ascii="Times New Roman" w:hAnsi="Times New Roman"/>
          <w:sz w:val="24"/>
        </w:rPr>
        <w:tab/>
        <w:tab/>
        <w:t>Attention:</w:t>
        <w:tab/>
        <w:t>Senior Vice President, Finance and Treasurer</w:t>
      </w:r>
    </w:p>
    <w:p>
      <w:pPr>
        <w:pStyle w:val="Normal"/>
        <w:keepNext w:val="true"/>
        <w:keepLines/>
        <w:bidi w:val="0"/>
        <w:jc w:val="both"/>
        <w:rPr>
          <w:rFonts w:ascii="Times New Roman" w:hAnsi="Times New Roman"/>
          <w:sz w:val="24"/>
        </w:rPr>
      </w:pPr>
      <w:r>
        <w:rPr>
          <w:rFonts w:ascii="Times New Roman" w:hAnsi="Times New Roman"/>
          <w:sz w:val="24"/>
        </w:rPr>
        <w:tab/>
        <w:tab/>
        <w:t>Fax No.:</w:t>
        <w:tab/>
        <w:t>(713) 646-3422</w:t>
      </w:r>
    </w:p>
    <w:p>
      <w:pPr>
        <w:pStyle w:val="Normal"/>
        <w:bidi w:val="0"/>
        <w:jc w:val="both"/>
        <w:rPr>
          <w:rFonts w:ascii="Times New Roman" w:hAnsi="Times New Roman"/>
          <w:sz w:val="23"/>
        </w:rPr>
      </w:pPr>
      <w:r>
        <w:rPr>
          <w:rFonts w:ascii="Times New Roman" w:hAnsi="Times New Roman"/>
          <w:sz w:val="23"/>
        </w:rPr>
      </w:r>
    </w:p>
    <w:p>
      <w:pPr>
        <w:pStyle w:val="Normal"/>
        <w:bidi w:val="0"/>
        <w:jc w:val="both"/>
        <w:rPr>
          <w:rFonts w:ascii="Times New Roman" w:hAnsi="Times New Roman"/>
          <w:sz w:val="24"/>
        </w:rPr>
      </w:pPr>
      <w:r>
        <w:rPr>
          <w:rFonts w:ascii="Times New Roman" w:hAnsi="Times New Roman"/>
          <w:sz w:val="24"/>
        </w:rPr>
        <w:tab/>
        <w:t>If to Agent: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Canadian Imperial Bank of Commerce</w:t>
      </w:r>
    </w:p>
    <w:p>
      <w:pPr>
        <w:pStyle w:val="Normal"/>
        <w:bidi w:val="0"/>
        <w:jc w:val="both"/>
        <w:rPr>
          <w:rFonts w:ascii="Times New Roman" w:hAnsi="Times New Roman"/>
          <w:sz w:val="24"/>
        </w:rPr>
      </w:pPr>
      <w:r>
        <w:rPr>
          <w:rFonts w:ascii="Times New Roman" w:hAnsi="Times New Roman"/>
          <w:sz w:val="24"/>
        </w:rPr>
        <w:tab/>
        <w:tab/>
        <w:t>425 Lexington Avenue</w:t>
      </w:r>
    </w:p>
    <w:p>
      <w:pPr>
        <w:pStyle w:val="Normal"/>
        <w:bidi w:val="0"/>
        <w:jc w:val="both"/>
        <w:rPr>
          <w:rFonts w:ascii="Times New Roman" w:hAnsi="Times New Roman"/>
          <w:sz w:val="24"/>
        </w:rPr>
      </w:pPr>
      <w:r>
        <w:rPr>
          <w:rFonts w:ascii="Times New Roman" w:hAnsi="Times New Roman"/>
          <w:sz w:val="24"/>
        </w:rPr>
        <w:tab/>
        <w:tab/>
        <w:t>New York, New York 10017</w:t>
      </w:r>
    </w:p>
    <w:p>
      <w:pPr>
        <w:pStyle w:val="Normal"/>
        <w:bidi w:val="0"/>
        <w:jc w:val="both"/>
        <w:rPr>
          <w:rFonts w:ascii="Times New Roman" w:hAnsi="Times New Roman"/>
          <w:sz w:val="24"/>
        </w:rPr>
      </w:pPr>
      <w:r>
        <w:rPr>
          <w:rFonts w:ascii="Times New Roman" w:hAnsi="Times New Roman"/>
          <w:sz w:val="24"/>
        </w:rPr>
        <w:tab/>
        <w:tab/>
        <w:t>Attention: Christine Aharonian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11.</w:t>
        <w:tab/>
      </w:r>
      <w:r>
        <w:rPr>
          <w:rFonts w:ascii="Times New Roman" w:hAnsi="Times New Roman"/>
          <w:sz w:val="24"/>
          <w:u w:val="single"/>
        </w:rPr>
        <w:t>Entire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12.</w:t>
        <w:tab/>
      </w:r>
      <w:r>
        <w:rPr>
          <w:rFonts w:ascii="Times New Roman" w:hAnsi="Times New Roman"/>
          <w:sz w:val="24"/>
          <w:u w:val="single"/>
        </w:rPr>
        <w:t>Assignment; Successors and Assigns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13.</w:t>
        <w:tab/>
      </w:r>
      <w:r>
        <w:rPr>
          <w:rFonts w:ascii="Times New Roman" w:hAnsi="Times New Roman"/>
          <w:sz w:val="24"/>
          <w:u w:val="single"/>
        </w:rPr>
        <w:t>Execution, Delivery and Performance by Reimbursement and Disclosure 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14.</w:t>
        <w:tab/>
      </w:r>
      <w:r>
        <w:rPr>
          <w:rFonts w:ascii="Times New Roman" w:hAnsi="Times New Roman"/>
          <w:sz w:val="24"/>
          <w:u w:val="single"/>
        </w:rPr>
        <w:t>No Petition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15.</w:t>
        <w:tab/>
      </w:r>
      <w:r>
        <w:rPr>
          <w:rFonts w:ascii="Times New Roman" w:hAnsi="Times New Roman"/>
          <w:sz w:val="24"/>
          <w:u w:val="single"/>
        </w:rPr>
        <w:t>GOVERNING LAW</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SHALL BE CONSTRUED IN ACCORDANCE WITH AND GOVERNED BY THE LAWS OF THE STATE OF NEW YORK APPLICABLE TO AGREEMENTS MADE AND TO BE PERFORMED WHOLLY WITHIN SUCH JURISDICTION.</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16.</w:t>
        <w:tab/>
      </w:r>
      <w:r>
        <w:rPr>
          <w:rFonts w:ascii="Times New Roman" w:hAnsi="Times New Roman"/>
          <w:sz w:val="24"/>
          <w:u w:val="single"/>
        </w:rPr>
        <w:t>No Liability of Trust Institution</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17.</w:t>
        <w:tab/>
      </w:r>
      <w:r>
        <w:rPr>
          <w:rFonts w:ascii="Times New Roman" w:hAnsi="Times New Roman"/>
          <w:sz w:val="24"/>
          <w:u w:val="single"/>
        </w:rPr>
        <w:t>Confidentiality</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18.</w:t>
        <w:tab/>
      </w:r>
      <w:r>
        <w:rPr>
          <w:rFonts w:ascii="Times New Roman" w:hAnsi="Times New Roman"/>
          <w:sz w:val="24"/>
          <w:u w:val="single"/>
        </w:rPr>
        <w:t>Counterparts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This Agreement may be executed in one or more counterparts, each of which shall be deemed to be an original, but all of which together shall constitute one and the same instrument.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sz w:val="24"/>
        </w:rPr>
        <w:tab/>
        <w:t>IN WITNESS WHEREOF, the parties hereto have caused this Reimbursement and Disclosure Agreement to be duly executed as of the day and year first above written.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b/>
          <w:sz w:val="24"/>
        </w:rPr>
        <w:t>HAWAII 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tab/>
        <w:t>WILMINGTON TRUST COMPANY</w:t>
      </w:r>
    </w:p>
    <w:p>
      <w:pPr>
        <w:pStyle w:val="Normal"/>
        <w:bidi w:val="0"/>
        <w:ind w:hanging="0" w:start="720"/>
        <w:jc w:val="both"/>
        <w:rPr>
          <w:rFonts w:ascii="Times New Roman" w:hAnsi="Times New Roman"/>
          <w:sz w:val="24"/>
        </w:rPr>
      </w:pPr>
      <w:r>
        <w:rPr>
          <w:rFonts w:ascii="Times New Roman" w:hAnsi="Times New Roman"/>
          <w:sz w:val="24"/>
        </w:rPr>
        <w:t>not in its individual capacity but solely as Trustee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t>CANADIAN IMPERIAL BANK OF</w:t>
      </w:r>
    </w:p>
    <w:p>
      <w:pPr>
        <w:pStyle w:val="Normal"/>
        <w:bidi w:val="0"/>
        <w:jc w:val="start"/>
        <w:rPr>
          <w:rFonts w:ascii="Times New Roman" w:hAnsi="Times New Roman"/>
          <w:sz w:val="24"/>
        </w:rPr>
      </w:pPr>
      <w:r>
        <w:rPr>
          <w:rFonts w:ascii="Times New Roman" w:hAnsi="Times New Roman"/>
          <w:b/>
          <w:sz w:val="24"/>
        </w:rPr>
        <w:t xml:space="preserve">    </w:t>
      </w:r>
      <w:r>
        <w:rPr>
          <w:rFonts w:ascii="Times New Roman" w:hAnsi="Times New Roman"/>
          <w:b/>
          <w:sz w:val="24"/>
        </w:rPr>
        <w:t>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5" w:author="">
        <w:r>
          <w:rPr>
            <w:rFonts w:ascii="Times New Roman" w:hAnsi="Times New Roman"/>
            <w:strike/>
            <w:sz w:val="24"/>
          </w:rPr>
          <w:t>266238.4</w:t>
        </w:r>
      </w:ins>
      <w:r>
        <w:rPr>
          <w:rFonts w:ascii="Times New Roman" w:hAnsi="Times New Roman"/>
          <w:sz w:val="24"/>
        </w:rPr>
        <w:t xml:space="preserve"> </w:t>
      </w:r>
      <w:ins w:id="6" w:author="">
        <w:r>
          <w:rPr>
            <w:rFonts w:ascii="Times New Roman" w:hAnsi="Times New Roman"/>
            <w:b/>
            <w:sz w:val="24"/>
            <w:u w:val="double"/>
          </w:rPr>
          <w:t>266238.5</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I/Reimbursement and Disclosure Agreement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C:\DOCUME~1\MCFAM\LOCALS~1\TEMP\DAL_266238_4</w:t>
      </w:r>
    </w:p>
    <w:p>
      <w:pPr>
        <w:pStyle w:val="Normal"/>
        <w:bidi w:val="0"/>
        <w:jc w:val="start"/>
        <w:rPr>
          <w:rFonts w:ascii="Times New Roman" w:hAnsi="Times New Roman"/>
          <w:sz w:val="24"/>
        </w:rPr>
      </w:pPr>
      <w:r>
        <w:rPr>
          <w:rFonts w:ascii="Times New Roman" w:hAnsi="Times New Roman"/>
          <w:sz w:val="24"/>
        </w:rPr>
        <w:t>and revised document: C:\DOCUME~1\MCFAM\LOCALS~1\TEMP\DAL_266238_5</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DAL:266238.5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I/Reimbursement and Disclosure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