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  <w:sz w:val="24"/>
        </w:rPr>
      </w:pPr>
      <w:r>
        <w:rPr>
          <w:sz w:val="24"/>
        </w:rPr>
      </w:r>
      <w:r>
        <w:rPr>
          <w:b/>
          <w:sz w:val="24"/>
        </w:rPr>
        <w:tab/>
        <w:t>PROJECT HAWAII I</w:t>
        <w:tab/>
      </w:r>
      <w:r>
        <w:rPr>
          <w:b/>
          <w:sz w:val="18"/>
        </w:rPr>
        <w:t>11/16/00</w:t>
      </w:r>
    </w:p>
    <w:p>
      <w:pPr>
        <w:pStyle w:val="Normal"/>
        <w:widowControl/>
        <w:tabs>
          <w:tab w:val="clear" w:pos="720"/>
          <w:tab w:val="center" w:pos="4680" w:leader="none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MASTER DOCUMENTS CLOSING CHECKLIST</w:t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sz w:val="24"/>
          <w:u w:val="single"/>
        </w:rPr>
      </w:pPr>
      <w:r>
        <w:rPr>
          <w:b/>
          <w:sz w:val="24"/>
        </w:rPr>
        <w:t>I.</w:t>
      </w:r>
      <w:r>
        <w:rPr>
          <w:sz w:val="24"/>
        </w:rPr>
        <w:tab/>
      </w:r>
      <w:r>
        <w:rPr>
          <w:b/>
          <w:sz w:val="24"/>
          <w:u w:val="single"/>
        </w:rPr>
        <w:t>THE PARTIES</w:t>
      </w:r>
    </w:p>
    <w:p>
      <w:pPr>
        <w:pStyle w:val="Normal"/>
        <w:widowControl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Trust</w:t>
        <w:tab/>
        <w:tab/>
        <w:tab/>
        <w:tab/>
        <w:t>Hawaii I 125-0 Trust</w:t>
      </w:r>
    </w:p>
    <w:p>
      <w:pPr>
        <w:pStyle w:val="Normal"/>
        <w:widowControl/>
        <w:ind w:hanging="3600" w:start="3600" w:end="0"/>
        <w:rPr>
          <w:sz w:val="24"/>
        </w:rPr>
      </w:pPr>
      <w:r>
        <w:rPr>
          <w:sz w:val="24"/>
        </w:rPr>
        <w:tab/>
        <w:t>Lenders</w:t>
        <w:tab/>
        <w:tab/>
        <w:tab/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widowControl/>
        <w:ind w:hanging="3600" w:start="3600" w:end="0"/>
        <w:rPr>
          <w:sz w:val="24"/>
        </w:rPr>
      </w:pPr>
      <w:r>
        <w:rPr>
          <w:sz w:val="24"/>
        </w:rPr>
        <w:tab/>
        <w:t>CIBC Inc.</w:t>
        <w:tab/>
        <w:tab/>
        <w:tab/>
        <w:t>CIBC Inc.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  <w:t>II.</w:t>
        <w:tab/>
      </w:r>
      <w:r>
        <w:rPr>
          <w:b/>
          <w:sz w:val="24"/>
          <w:u w:val="single"/>
        </w:rPr>
        <w:t>HAWAII I 125-0 TRUST</w:t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20"/>
        <w:gridCol w:w="6660"/>
        <w:gridCol w:w="2412"/>
      </w:tblGrid>
      <w:tr>
        <w:trPr>
          <w:tblHeader w:val="true"/>
        </w:trPr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Restated Certificate of Business Trust of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Good Standing and Existence of the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WTC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Hawaii I Trust Agreement (DAL:266236)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70" w:start="2070" w:end="0"/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70" w:start="2070" w:end="0"/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70" w:start="2070" w:end="0"/>
              <w:rPr>
                <w:sz w:val="24"/>
              </w:rPr>
            </w:pPr>
            <w:r>
              <w:rPr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70" w:start="2070" w:end="0"/>
              <w:rPr>
                <w:sz w:val="24"/>
              </w:rPr>
            </w:pPr>
            <w:r>
              <w:rPr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2070" w:start="2070" w:end="0"/>
              <w:rPr>
                <w:sz w:val="24"/>
              </w:rPr>
            </w:pPr>
            <w:r>
              <w:rPr>
                <w:sz w:val="24"/>
              </w:rPr>
              <w:tab/>
              <w:t>Exhibit E:</w:t>
              <w:tab/>
              <w:t>Form of Series Supplement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ind w:hanging="1230" w:start="2070" w:end="0"/>
              <w:rPr>
                <w:sz w:val="24"/>
              </w:rPr>
            </w:pPr>
            <w:r>
              <w:rPr>
                <w:sz w:val="24"/>
              </w:rPr>
              <w:t>Exhibit F:</w:t>
              <w:tab/>
              <w:t>Form of Certificate of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WTC, CIBC Inc.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Reimbursement and Disclosure Agreement (DAL:266238)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Beneficial Interest Certificate issued to CIBC Inc. (DAL:266242)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Distribution Agreement (DAL:266243)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Subscription Documents (DAL:266245)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- Accredited Questionnaire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Letter Agreement re: Equity Commitment Termination (DAL:268701)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Enron,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38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b/>
                <w:sz w:val="24"/>
              </w:rPr>
              <w:t>III.</w:t>
              <w:tab/>
            </w:r>
            <w:r>
              <w:rPr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fals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Facility Agreement (DAL:266253)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>Form of Note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1710" w:end="0"/>
              <w:rPr>
                <w:sz w:val="24"/>
              </w:rPr>
            </w:pPr>
            <w:r>
              <w:rPr>
                <w:sz w:val="24"/>
              </w:rPr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F:</w:t>
              <w:tab/>
              <w:t>Form of Independent Auctioneer Letter (DAL:267509)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G1:</w:t>
              <w:tab/>
              <w:t>Form of Swap Confirmation (DAL:268741)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260" w:start="1710" w:end="0"/>
              <w:rPr>
                <w:sz w:val="24"/>
              </w:rPr>
            </w:pPr>
            <w:r>
              <w:rPr>
                <w:sz w:val="24"/>
              </w:rPr>
              <w:t>Exhibit G2:</w:t>
              <w:tab/>
              <w:t>Form of Swap Schedule (Permitted Swap Party)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1710" w:end="0"/>
              <w:rPr>
                <w:sz w:val="24"/>
              </w:rPr>
            </w:pPr>
            <w:r>
              <w:rPr>
                <w:sz w:val="24"/>
              </w:rPr>
              <w:t>(DAL:268744)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260" w:start="1710" w:end="0"/>
              <w:rPr>
                <w:sz w:val="24"/>
              </w:rPr>
            </w:pPr>
            <w:r>
              <w:rPr>
                <w:sz w:val="24"/>
              </w:rPr>
              <w:t xml:space="preserve">Exhibit G3: </w:t>
              <w:tab/>
              <w:t>Form of Swap Schedule (Enron) (DAL:268748)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260" w:start="1710" w:end="0"/>
              <w:rPr>
                <w:sz w:val="24"/>
              </w:rPr>
            </w:pPr>
            <w:r>
              <w:rPr>
                <w:sz w:val="24"/>
              </w:rPr>
              <w:t xml:space="preserve">Exhibit G4: </w:t>
              <w:tab/>
              <w:t>Form of Enron Guaranty (DAL:268752)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H:</w:t>
              <w:tab/>
              <w:t>Form of Transfer and Auction Agreement (DAL:266256)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I:</w:t>
              <w:tab/>
              <w:t>Part A - Form of Asset LLC Agreement (DAL:266270)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1710" w:end="0"/>
              <w:rPr>
                <w:sz w:val="24"/>
              </w:rPr>
            </w:pPr>
            <w:r>
              <w:rPr>
                <w:sz w:val="24"/>
              </w:rPr>
              <w:t>Part B - Form of Transferor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1710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(DAL:266276)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260" w:start="1710" w:end="0"/>
              <w:rPr>
                <w:sz w:val="24"/>
              </w:rPr>
            </w:pPr>
            <w:r>
              <w:rPr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1710" w:start="1710" w:end="0"/>
              <w:rPr>
                <w:sz w:val="24"/>
              </w:rPr>
            </w:pPr>
            <w:r>
              <w:rPr>
                <w:sz w:val="24"/>
              </w:rPr>
              <w:tab/>
              <w:t>Exhibit K:</w:t>
              <w:tab/>
              <w:t>Form of Asset Notice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ind w:hanging="1260" w:start="1710" w:end="0"/>
              <w:rPr>
                <w:sz w:val="24"/>
              </w:rPr>
            </w:pPr>
            <w:r>
              <w:rPr>
                <w:sz w:val="24"/>
              </w:rPr>
              <w:t>Exhibit L:</w:t>
              <w:tab/>
              <w:t>Form of Enron Guaranty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Trust, Lenders, CIBC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0" w:type="dxa"/>
            <w:tcBorders/>
          </w:tcPr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Bayerische Landesbank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First Union National 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BNP Paribas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SANPAOLO IMI S.p.A.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Bankers Trust Company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$15,000,000 payable to TD Securities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$10,500,000 payable to CIBC Oppenheimer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$10,500,000 payable to National Australia Bank, Ltd.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$10,500,000 payable to The Sumitomo Bank, Limited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$10,500,000 payable to Wachovia Bank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$9,000,000 payable to ABN/AMRO Bank, Ltd.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$6,000,000 payable to Banco Bilbao Vizcaya Argentaria, S.A.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$6,000,000 payable to National Westminster Bank PLC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$6,000,000 payable to Credit Agricole Indosuez</w:t>
            </w:r>
          </w:p>
          <w:p>
            <w:pPr>
              <w:pStyle w:val="Level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hanging="840" w:start="840" w:end="0"/>
              <w:rPr>
                <w:sz w:val="24"/>
              </w:rPr>
            </w:pPr>
            <w:r>
              <w:rPr>
                <w:sz w:val="24"/>
              </w:rPr>
              <w:tab/>
              <w:t>Note in the original amount of $6,000,000 payable to Royal Bank of Canada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jc w:val="center"/>
              <w:rPr>
                <w:sz w:val="24"/>
              </w:rPr>
            </w:pPr>
            <w:r>
              <w:rPr>
                <w:sz w:val="24"/>
              </w:rPr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fals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ISDA Master Agreement (Form)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Swap Schedule (DAL:269109)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A:</w:t>
              <w:tab/>
              <w:t>Form of Legal Opinon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Exhibit C:</w:t>
              <w:tab/>
              <w:t>Form of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Enron, Trust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Commitment Fee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CIBC, 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Funding Indemnity Agreement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16.a.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Trust Equity Fee Letter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Direction Letter to Owner Trustee of Hawaii I Trust (DAL:267371)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CIBC Inc.</w:t>
            </w:r>
          </w:p>
        </w:tc>
      </w:tr>
      <w:tr>
        <w:trPr/>
        <w:tc>
          <w:tcPr>
            <w:tcW w:w="738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ind w:hanging="840" w:start="840" w:end="0"/>
              <w:rPr>
                <w:sz w:val="24"/>
              </w:rPr>
            </w:pPr>
            <w:r>
              <w:rPr>
                <w:b/>
                <w:sz w:val="24"/>
              </w:rPr>
              <w:t>IV.</w:t>
              <w:tab/>
            </w:r>
            <w:r>
              <w:rPr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Formation, Existence and Good Standing of Hawaii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Lines w:val="false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Revenue Letter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Certificate of Secretary of Enron</w:t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ind w:start="840" w:end="0"/>
              <w:rPr>
                <w:sz w:val="24"/>
              </w:rPr>
            </w:pPr>
            <w:r>
              <w:rPr>
                <w:sz w:val="24"/>
              </w:rPr>
              <w:t>Exhibit A - Articles of Incorporation</w:t>
            </w:r>
          </w:p>
          <w:p>
            <w:pPr>
              <w:pStyle w:val="Normal"/>
              <w:keepNext w:val="fals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ind w:start="840" w:end="0"/>
              <w:rPr>
                <w:sz w:val="24"/>
              </w:rPr>
            </w:pPr>
            <w:r>
              <w:rPr>
                <w:sz w:val="24"/>
              </w:rPr>
              <w:t>Exhibit B - Bylaws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/>
        <w:tc>
          <w:tcPr>
            <w:tcW w:w="7380" w:type="dxa"/>
            <w:gridSpan w:val="2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b/>
                <w:sz w:val="24"/>
              </w:rPr>
              <w:t>V.</w:t>
              <w:tab/>
            </w:r>
            <w:r>
              <w:rPr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Prickett, Jones, Elliott &amp; Kristol, as special Delaware counsel to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0"/>
              <w:rPr>
                <w:sz w:val="24"/>
              </w:rPr>
            </w:pPr>
            <w:r>
              <w:rPr>
                <w:sz w:val="24"/>
              </w:rPr>
              <w:t>Opinion of Senior Vice President and General Counsel of Enron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Schedule I - Addressees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ab/>
              <w:t>Schedule II - Transaction Documents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Richards, Layton &amp; Finger, as counsel to the Hawaii 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Richards, Layton &amp; Finger, as counsel to the Hawaii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Opinion of Mayer, Brown &amp; Platt, counsel to CIBC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1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0" w:after="4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pacing w:before="100" w:after="48"/>
              <w:rPr>
                <w:sz w:val="24"/>
              </w:rPr>
            </w:pPr>
            <w:r>
              <w:rPr>
                <w:sz w:val="24"/>
              </w:rPr>
              <w:t>General Opinion of Andrews &amp; Kurth, L.L.P., as special counsel to Enron, EESO, 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snapToGrid w:val="false"/>
              <w:spacing w:before="100" w:after="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tLeast" w:line="0" w:before="0" w:after="0"/>
        <w:rPr>
          <w:sz w:val="24"/>
        </w:rPr>
      </w:pPr>
      <w:r>
        <w:rPr>
          <w:sz w:val="24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440" w:right="1440" w:gutter="0" w:header="1440" w:top="1496" w:footer="1440" w:bottom="1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14"/>
      </w:rPr>
    </w:pPr>
    <w:r>
      <w:rPr>
        <w:sz w:val="14"/>
      </w:rPr>
      <w:t>DAL:266235.2</w:t>
    </w:r>
  </w:p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align>left</wp:align>
              </wp:positionH>
              <wp:positionV relativeFrom="page">
                <wp:posOffset>9144000</wp:posOffset>
              </wp:positionV>
              <wp:extent cx="5943600" cy="177800"/>
              <wp:effectExtent l="0" t="0" r="0" b="0"/>
              <wp:wrapTopAndBottom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shd w:fill="auto" w:val="clear"/>
                            <w:tabs>
                              <w:tab w:val="left" w:pos="-1200" w:leader="none"/>
                              <w:tab w:val="left" w:pos="-720" w:leader="none"/>
                              <w:tab w:val="left" w:pos="0" w:leader="none"/>
                              <w:tab w:val="left" w:pos="720" w:leader="none"/>
                              <w:tab w:val="left" w:pos="1140" w:leader="none"/>
                              <w:tab w:val="left" w:pos="2160" w:leader="none"/>
                              <w:tab w:val="left" w:pos="2880" w:leader="none"/>
                              <w:tab w:val="left" w:pos="3600" w:leader="none"/>
                              <w:tab w:val="left" w:pos="4320" w:leader="none"/>
                              <w:tab w:val="left" w:pos="5040" w:leader="none"/>
                              <w:tab w:val="left" w:pos="5760" w:leader="none"/>
                              <w:tab w:val="left" w:pos="6480" w:leader="none"/>
                              <w:tab w:val="left" w:pos="7200" w:leader="none"/>
                              <w:tab w:val="left" w:pos="7920" w:leader="none"/>
                              <w:tab w:val="left" w:pos="8640" w:leader="none"/>
                              <w:tab w:val="left" w:pos="9360" w:leader="none"/>
                              <w:tab w:val="left" w:pos="10080" w:leader="none"/>
                              <w:tab w:val="left" w:pos="10800" w:leader="none"/>
                              <w:tab w:val="left" w:pos="11520" w:leader="none"/>
                              <w:tab w:val="left" w:pos="12240" w:leader="none"/>
                              <w:tab w:val="left" w:pos="12960" w:leader="none"/>
                              <w:tab w:val="left" w:pos="13680" w:leader="none"/>
                              <w:tab w:val="left" w:pos="14400" w:leader="none"/>
                              <w:tab w:val="left" w:pos="15120" w:leader="none"/>
                              <w:tab w:val="left" w:pos="15840" w:leader="none"/>
                              <w:tab w:val="left" w:pos="16560" w:leader="none"/>
                              <w:tab w:val="left" w:pos="17280" w:leader="none"/>
                              <w:tab w:val="left" w:pos="18000" w:leader="none"/>
                              <w:tab w:val="left" w:pos="18720" w:leader="none"/>
                            </w:tabs>
                            <w:spacing w:lineRule="atLeast" w:line="0" w:before="0" w:after="0"/>
                            <w:jc w:val="center"/>
                            <w:rPr>
                              <w:vanish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14pt;mso-wrap-distance-left:0pt;mso-wrap-distance-right:0pt;mso-wrap-distance-top:0pt;mso-wrap-distance-bottom:0pt;margin-top:720pt;mso-position-vertical-relative:page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shd w:fill="auto" w:val="clear"/>
                      <w:tabs>
                        <w:tab w:val="left" w:pos="-1200" w:leader="none"/>
                        <w:tab w:val="left" w:pos="-720" w:leader="none"/>
                        <w:tab w:val="left" w:pos="0" w:leader="none"/>
                        <w:tab w:val="left" w:pos="720" w:leader="none"/>
                        <w:tab w:val="left" w:pos="1140" w:leader="none"/>
                        <w:tab w:val="left" w:pos="2160" w:leader="none"/>
                        <w:tab w:val="left" w:pos="2880" w:leader="none"/>
                        <w:tab w:val="left" w:pos="3600" w:leader="none"/>
                        <w:tab w:val="left" w:pos="4320" w:leader="none"/>
                        <w:tab w:val="left" w:pos="5040" w:leader="none"/>
                        <w:tab w:val="left" w:pos="5760" w:leader="none"/>
                        <w:tab w:val="left" w:pos="6480" w:leader="none"/>
                        <w:tab w:val="left" w:pos="7200" w:leader="none"/>
                        <w:tab w:val="left" w:pos="7920" w:leader="none"/>
                        <w:tab w:val="left" w:pos="8640" w:leader="none"/>
                        <w:tab w:val="left" w:pos="9360" w:leader="none"/>
                        <w:tab w:val="left" w:pos="10080" w:leader="none"/>
                        <w:tab w:val="left" w:pos="10800" w:leader="none"/>
                        <w:tab w:val="left" w:pos="11520" w:leader="none"/>
                        <w:tab w:val="left" w:pos="12240" w:leader="none"/>
                        <w:tab w:val="left" w:pos="12960" w:leader="none"/>
                        <w:tab w:val="left" w:pos="13680" w:leader="none"/>
                        <w:tab w:val="left" w:pos="14400" w:leader="none"/>
                        <w:tab w:val="left" w:pos="15120" w:leader="none"/>
                        <w:tab w:val="left" w:pos="15840" w:leader="none"/>
                        <w:tab w:val="left" w:pos="16560" w:leader="none"/>
                        <w:tab w:val="left" w:pos="17280" w:leader="none"/>
                        <w:tab w:val="left" w:pos="18000" w:leader="none"/>
                        <w:tab w:val="left" w:pos="18720" w:leader="none"/>
                      </w:tabs>
                      <w:spacing w:lineRule="atLeast" w:line="0" w:before="0" w:after="0"/>
                      <w:jc w:val="center"/>
                      <w:rPr>
                        <w:vanish/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rPr>
        <w:sz w:val="14"/>
      </w:rPr>
    </w:pPr>
    <w:r>
      <w:rPr>
        <w:sz w:val="14"/>
      </w:rPr>
      <w:t>DAL:266235.2</w:t>
    </w:r>
  </w:p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spacing w:lineRule="atLeast" w:line="0" w:before="0" w:after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page">
                <wp:posOffset>9144000</wp:posOffset>
              </wp:positionV>
              <wp:extent cx="5943600" cy="17780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shd w:fill="auto" w:val="clear"/>
                            <w:tabs>
                              <w:tab w:val="left" w:pos="-1200" w:leader="none"/>
                              <w:tab w:val="left" w:pos="-720" w:leader="none"/>
                              <w:tab w:val="left" w:pos="0" w:leader="none"/>
                              <w:tab w:val="left" w:pos="720" w:leader="none"/>
                              <w:tab w:val="left" w:pos="1140" w:leader="none"/>
                              <w:tab w:val="left" w:pos="2160" w:leader="none"/>
                              <w:tab w:val="left" w:pos="2880" w:leader="none"/>
                              <w:tab w:val="left" w:pos="3600" w:leader="none"/>
                              <w:tab w:val="left" w:pos="4320" w:leader="none"/>
                              <w:tab w:val="left" w:pos="5040" w:leader="none"/>
                              <w:tab w:val="left" w:pos="5760" w:leader="none"/>
                              <w:tab w:val="left" w:pos="6480" w:leader="none"/>
                              <w:tab w:val="left" w:pos="7200" w:leader="none"/>
                              <w:tab w:val="left" w:pos="7920" w:leader="none"/>
                              <w:tab w:val="left" w:pos="8640" w:leader="none"/>
                              <w:tab w:val="left" w:pos="9360" w:leader="none"/>
                              <w:tab w:val="left" w:pos="10080" w:leader="none"/>
                              <w:tab w:val="left" w:pos="10800" w:leader="none"/>
                              <w:tab w:val="left" w:pos="11520" w:leader="none"/>
                              <w:tab w:val="left" w:pos="12240" w:leader="none"/>
                              <w:tab w:val="left" w:pos="12960" w:leader="none"/>
                              <w:tab w:val="left" w:pos="13680" w:leader="none"/>
                              <w:tab w:val="left" w:pos="14400" w:leader="none"/>
                              <w:tab w:val="left" w:pos="15120" w:leader="none"/>
                              <w:tab w:val="left" w:pos="15840" w:leader="none"/>
                              <w:tab w:val="left" w:pos="16560" w:leader="none"/>
                              <w:tab w:val="left" w:pos="17280" w:leader="none"/>
                              <w:tab w:val="left" w:pos="18000" w:leader="none"/>
                              <w:tab w:val="left" w:pos="18720" w:leader="none"/>
                            </w:tabs>
                            <w:jc w:val="center"/>
                            <w:rPr>
                              <w:vanish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14pt;mso-wrap-distance-left:0pt;mso-wrap-distance-right:0pt;mso-wrap-distance-top:0pt;mso-wrap-distance-bottom:0pt;margin-top:720pt;mso-position-vertical-relative:page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shd w:fill="auto" w:val="clear"/>
                      <w:tabs>
                        <w:tab w:val="left" w:pos="-1200" w:leader="none"/>
                        <w:tab w:val="left" w:pos="-720" w:leader="none"/>
                        <w:tab w:val="left" w:pos="0" w:leader="none"/>
                        <w:tab w:val="left" w:pos="720" w:leader="none"/>
                        <w:tab w:val="left" w:pos="1140" w:leader="none"/>
                        <w:tab w:val="left" w:pos="2160" w:leader="none"/>
                        <w:tab w:val="left" w:pos="2880" w:leader="none"/>
                        <w:tab w:val="left" w:pos="3600" w:leader="none"/>
                        <w:tab w:val="left" w:pos="4320" w:leader="none"/>
                        <w:tab w:val="left" w:pos="5040" w:leader="none"/>
                        <w:tab w:val="left" w:pos="5760" w:leader="none"/>
                        <w:tab w:val="left" w:pos="6480" w:leader="none"/>
                        <w:tab w:val="left" w:pos="7200" w:leader="none"/>
                        <w:tab w:val="left" w:pos="7920" w:leader="none"/>
                        <w:tab w:val="left" w:pos="8640" w:leader="none"/>
                        <w:tab w:val="left" w:pos="9360" w:leader="none"/>
                        <w:tab w:val="left" w:pos="10080" w:leader="none"/>
                        <w:tab w:val="left" w:pos="10800" w:leader="none"/>
                        <w:tab w:val="left" w:pos="11520" w:leader="none"/>
                        <w:tab w:val="left" w:pos="12240" w:leader="none"/>
                        <w:tab w:val="left" w:pos="12960" w:leader="none"/>
                        <w:tab w:val="left" w:pos="13680" w:leader="none"/>
                        <w:tab w:val="left" w:pos="14400" w:leader="none"/>
                        <w:tab w:val="left" w:pos="15120" w:leader="none"/>
                        <w:tab w:val="left" w:pos="15840" w:leader="none"/>
                        <w:tab w:val="left" w:pos="16560" w:leader="none"/>
                        <w:tab w:val="left" w:pos="17280" w:leader="none"/>
                        <w:tab w:val="left" w:pos="18000" w:leader="none"/>
                        <w:tab w:val="left" w:pos="18720" w:leader="none"/>
                      </w:tabs>
                      <w:jc w:val="center"/>
                      <w:rPr>
                        <w:vanish/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-1200" w:leader="none"/>
        <w:tab w:val="left" w:pos="-720" w:leader="none"/>
        <w:tab w:val="left" w:pos="0" w:leader="none"/>
        <w:tab w:val="left" w:pos="720" w:leader="none"/>
        <w:tab w:val="left" w:pos="11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suff w:val="nothing"/>
      <w:lvlText w:val="(%1)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widowControl w:val="false"/>
    </w:pPr>
    <w:rPr/>
  </w:style>
  <w:style w:type="paragraph" w:styleId="1">
    <w:name w:val="1"/>
    <w:basedOn w:val="Normal"/>
    <w:qFormat/>
    <w:pPr>
      <w:widowControl w:val="fals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