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21.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ARROW-24.WPG \* mergeformat</w:instrText>
      </w:r>
      <w:r>
        <w:rPr/>
      </w:r>
      <w:r>
        <w:rPr/>
        <w:fldChar w:fldCharType="separate"/>
      </w:r>
      <w:r>
        <w:rPr/>
      </w:r>
      <w:r/>
      <w:r>
        <w:rPr/>
        <w:fldChar w:fldCharType="end"/>
      </w:r>
      <w:r>
        <w:rPr/>
      </w:r>
      <w:r>
        <mc:AlternateContent>
          <mc:Choice Requires="wps">
            <w:drawing>
              <wp:anchor behindDoc="0" distT="0" distB="0" distL="0" distR="0" simplePos="0" locked="0" layoutInCell="1" allowOverlap="1" relativeHeight="2">
                <wp:simplePos x="0" y="0"/>
                <wp:positionH relativeFrom="column">
                  <wp:posOffset>557530</wp:posOffset>
                </wp:positionH>
                <wp:positionV relativeFrom="paragraph">
                  <wp:posOffset>635</wp:posOffset>
                </wp:positionV>
                <wp:extent cx="4837430" cy="457200"/>
                <wp:effectExtent l="0" t="0" r="0" b="0"/>
                <wp:wrapNone/>
                <wp:docPr id="1" name="Frame1"/>
                <a:graphic xmlns:a="http://schemas.openxmlformats.org/drawingml/2006/main">
                  <a:graphicData uri="http://schemas.microsoft.com/office/word/2010/wordprocessingShape">
                    <wps:wsp>
                      <wps:cNvSpPr txBox="1"/>
                      <wps:spPr>
                        <a:xfrm>
                          <a:off x="0" y="0"/>
                          <a:ext cx="4837430" cy="457200"/>
                        </a:xfrm>
                        <a:prstGeom prst="rect"/>
                        <a:solidFill>
                          <a:srgbClr val="FFFFFF">
                            <a:alpha val="0"/>
                          </a:srgbClr>
                        </a:solidFill>
                      </wps:spPr>
                      <wps:txbx>
                        <w:txbxContent>
                          <w:p>
                            <w:pPr>
                              <w:pStyle w:val="Normal"/>
                              <w:bidi w:val="0"/>
                              <w:jc w:val="both"/>
                              <w:rPr>
                                <w:rFonts w:ascii="Times New Roman" w:hAnsi="Times New Roman"/>
                                <w:sz w:val="24"/>
                              </w:rPr>
                            </w:pPr>
                            <w:r>
                              <w:rPr/>
                            </w:r>
                          </w:p>
                        </w:txbxContent>
                      </wps:txbx>
                      <wps:bodyPr anchor="t" lIns="0" tIns="0" rIns="0" bIns="0">
                        <a:noAutofit/>
                      </wps:bodyPr>
                    </wps:wsp>
                  </a:graphicData>
                </a:graphic>
              </wp:anchor>
            </w:drawing>
          </mc:Choice>
          <mc:Fallback>
            <w:pict>
              <v:rect fillcolor="#FFFFFF" stroked="f" strokeweight="0pt" style="position:absolute;rotation:-0;width:380.9pt;height:36pt;mso-wrap-distance-left:0pt;mso-wrap-distance-right:0pt;mso-wrap-distance-top:0pt;mso-wrap-distance-bottom:0pt;margin-top:0pt;mso-position-vertical-relative:text;margin-left:43.9pt;mso-position-horizontal-relative:text">
                <v:fill opacity="0f"/>
                <v:textbox inset="0in,0in,0in,0in">
                  <w:txbxContent>
                    <w:p>
                      <w:pPr>
                        <w:pStyle w:val="Normal"/>
                        <w:bidi w:val="0"/>
                        <w:jc w:val="both"/>
                        <w:rPr>
                          <w:rFonts w:ascii="Times New Roman" w:hAnsi="Times New Roman"/>
                          <w:sz w:val="24"/>
                        </w:rPr>
                      </w:pPr>
                      <w:r>
                        <w:rPr/>
                      </w:r>
                    </w:p>
                  </w:txbxContent>
                </v:textbox>
                <w10:wrap type="none"/>
              </v:rect>
            </w:pict>
          </mc:Fallback>
        </mc:AlternateContent>
      </w:r>
    </w:p>
    <w:p>
      <w:pPr>
        <w:pStyle w:val="Normal"/>
        <w:bidi w:val="0"/>
        <w:jc w:val="both"/>
        <w:rPr>
          <w:rFonts w:ascii="Times New Roman" w:hAnsi="Times New Roman"/>
          <w:sz w:val="24"/>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sz w:val="24"/>
        </w:rPr>
      </w:pPr>
      <w:r>
        <w:fldChar w:fldCharType="begin"/>
      </w:r>
      <w:r>
        <w:rPr/>
        <w:instrText xml:space="preserve">IMPORT ARROW-24.WPG \* mergeformat</w:instrText>
      </w:r>
      <w:r>
        <w:rPr/>
      </w:r>
      <w:r>
        <w:rPr/>
        <w:fldChar w:fldCharType="separate"/>
      </w:r>
      <w:r>
        <w:rPr/>
      </w:r>
      <w:r/>
      <w:r>
        <w:rPr/>
        <w:fldChar w:fldCharType="end"/>
      </w:r>
      <w:r>
        <w:rPr/>
      </w:r>
    </w:p>
    <w:p>
      <w:pPr>
        <w:pStyle w:val="Normal"/>
        <w:tabs>
          <w:tab w:val="left" w:pos="720" w:leader="none"/>
        </w:tabs>
        <w:bidi w:val="0"/>
        <w:jc w:val="both"/>
        <w:rPr>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sz w:val="36"/>
        </w:rPr>
        <w:fldChar w:fldCharType="begin"/>
      </w:r>
      <w:r>
        <w:rPr>
          <w:sz w:val="36"/>
        </w:rPr>
        <w:instrText xml:space="preserve"> DATE \@"MMMM\ d', 'yyyy" </w:instrText>
      </w:r>
      <w:r>
        <w:rPr>
          <w:sz w:val="36"/>
        </w:rPr>
        <w:fldChar w:fldCharType="separate"/>
      </w:r>
      <w:r>
        <w:rPr>
          <w:sz w:val="36"/>
        </w:rPr>
        <w:t>September 28, 2025</w:t>
      </w:r>
      <w:r>
        <w:rPr>
          <w:sz w:val="36"/>
        </w:rPr>
        <w:fldChar w:fldCharType="end"/>
      </w:r>
      <w:r>
        <w:rPr>
          <w:sz w:val="24"/>
        </w:rPr>
        <w:t> </w:t>
      </w:r>
      <w:r>
        <w:rPr>
          <w:sz w:val="24"/>
        </w:rPr>
        <w:fldChar w:fldCharType="begin"/>
      </w:r>
      <w:r>
        <w:rPr>
          <w:sz w:val="24"/>
        </w:rPr>
        <w:instrText xml:space="preserve"> DATE \@"MMMM\ d\,yyyy" </w:instrText>
      </w:r>
      <w:r>
        <w:rPr>
          <w:sz w:val="24"/>
        </w:rPr>
        <w:fldChar w:fldCharType="separate"/>
      </w:r>
      <w:r>
        <w:rPr>
          <w:sz w:val="24"/>
        </w:rPr>
        <w:t>September 28,2025</w:t>
      </w:r>
      <w:r>
        <w:rPr>
          <w:sz w:val="24"/>
        </w:rPr>
        <w:fldChar w:fldCharType="end"/>
      </w:r>
    </w:p>
    <w:p>
      <w:pPr>
        <w:sectPr>
          <w:footerReference w:type="even" r:id="rId2"/>
          <w:footerReference w:type="default" r:id="rId3"/>
          <w:footerReference w:type="first" r:id="rId4"/>
          <w:type w:val="nextPage"/>
          <w:pgSz w:w="12240" w:h="15840"/>
          <w:pgMar w:left="1440" w:right="1440" w:gutter="0" w:header="0" w:top="1440" w:footer="1440" w:bottom="2016"/>
          <w:pgNumType w:start="1" w:fmt="decimal"/>
          <w:formProt w:val="false"/>
          <w:textDirection w:val="lrTb"/>
          <w:docGrid w:type="default" w:linePitch="100" w:charSpace="0"/>
        </w:sectPr>
      </w:pPr>
    </w:p>
    <w:p>
      <w:pPr>
        <w:pStyle w:val="Normal"/>
        <w:tabs>
          <w:tab w:val="left" w:pos="720" w:leader="none"/>
          <w:tab w:val="right" w:pos="9360" w:leader="none"/>
        </w:tabs>
        <w:bidi w:val="0"/>
        <w:jc w:val="start"/>
        <w:rPr>
          <w:sz w:val="24"/>
        </w:rPr>
      </w:pPr>
      <w:r>
        <w:rPr>
          <w:sz w:val="24"/>
          <w:u w:val="doub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TRANSFER AND AUCTION AGREEMENT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dated as of ___________________</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by and among</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i/>
          <w:sz w:val="24"/>
        </w:rPr>
        <w:t>[NAME OF TRANSFEROR]</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i/>
          <w:sz w:val="24"/>
        </w:rPr>
        <w:t>[Name of Sponsor]</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and</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HAWAII II 125-0 TRUST</w:t>
      </w:r>
    </w:p>
    <w:p>
      <w:pPr>
        <w:pStyle w:val="Normal"/>
        <w:bidi w:val="0"/>
        <w:jc w:val="start"/>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tabs>
          <w:tab w:val="clear" w:pos="720"/>
          <w:tab w:val="right" w:pos="9360" w:leader="none"/>
        </w:tabs>
        <w:bidi w:val="0"/>
        <w:jc w:val="start"/>
        <w:rPr>
          <w:sz w:val="24"/>
        </w:rPr>
      </w:pPr>
      <w:bookmarkStart w:id="0" w:name="Redline_32_1"/>
      <w:bookmarkEnd w:id="0"/>
      <w:r>
        <w:rPr>
          <w:sz w:val="24"/>
          <w:u w:val="double"/>
        </w:rPr>
        <w:tab/>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960" w:footer="1440" w:bottom="1497"/>
          <w:pgNumType w:start="1" w:fmt="decimal"/>
          <w:cols w:num="2" w:space="720" w:equalWidth="true" w:sep="false"/>
          <w:formProt w:val="false"/>
          <w:titlePg/>
          <w:textDirection w:val="lrTb"/>
          <w:docGrid w:type="default" w:linePitch="100" w:charSpace="0"/>
        </w:sectPr>
      </w:pPr>
    </w:p>
    <w:p>
      <w:pPr>
        <w:pStyle w:val="Normal"/>
        <w:bidi w:val="0"/>
        <w:jc w:val="center"/>
        <w:rPr>
          <w:sz w:val="36"/>
        </w:rPr>
      </w:pPr>
      <w:r>
        <w:rPr>
          <w:b/>
          <w:sz w:val="36"/>
          <w:u w:val="single"/>
        </w:rPr>
        <w:t>TABLE OF CONTENTS</w:t>
      </w:r>
    </w:p>
    <w:p>
      <w:pPr>
        <w:pStyle w:val="Normal"/>
        <w:bidi w:val="0"/>
        <w:jc w:val="start"/>
        <w:rPr>
          <w:sz w:val="36"/>
        </w:rPr>
      </w:pPr>
      <w:r>
        <w:rPr>
          <w:sz w:val="36"/>
        </w:rPr>
      </w:r>
    </w:p>
    <w:p>
      <w:pPr>
        <w:pStyle w:val="Normal"/>
        <w:tabs>
          <w:tab w:val="clear" w:pos="720"/>
          <w:tab w:val="right" w:pos="9360" w:leader="none"/>
        </w:tabs>
        <w:bidi w:val="0"/>
        <w:jc w:val="start"/>
        <w:rPr>
          <w:sz w:val="36"/>
        </w:rPr>
      </w:pPr>
      <w:r>
        <w:rPr>
          <w:sz w:val="36"/>
        </w:rPr>
        <w:tab/>
      </w:r>
      <w:r>
        <w:rPr>
          <w:sz w:val="36"/>
          <w:u w:val="single"/>
        </w:rPr>
        <w:t>Page</w:t>
      </w:r>
    </w:p>
    <w:sdt>
      <w:sdtPr>
        <w:docPartObj>
          <w:docPartGallery w:val="Table of Contents"/>
          <w:docPartUnique w:val="true"/>
        </w:docPartObj>
      </w:sdtPr>
      <w:sdtContent>
        <w:p>
          <w:pPr>
            <w:pStyle w:val="Normal"/>
            <w:bidi w:val="0"/>
            <w:jc w:val="start"/>
            <w:rPr>
              <w:sz w:val="36"/>
            </w:rPr>
          </w:pPr>
          <w:r>
            <w:fldChar w:fldCharType="begin"/>
          </w:r>
          <w:r>
            <w:rPr>
              <w:sz w:val="36"/>
            </w:rPr>
            <w:instrText xml:space="preserve"> TOC \f \h</w:instrText>
          </w:r>
          <w:r>
            <w:rPr>
              <w:sz w:val="36"/>
            </w:rPr>
            <w:fldChar w:fldCharType="separate"/>
          </w:r>
          <w:r>
            <w:rPr>
              <w:sz w:val="36"/>
            </w:rPr>
          </w:r>
        </w:p>
        <w:p>
          <w:pPr>
            <w:pStyle w:val="Normal"/>
            <w:tabs>
              <w:tab w:val="clear" w:pos="720"/>
              <w:tab w:val="right" w:pos="9360" w:leader="dot"/>
            </w:tabs>
            <w:bidi w:val="0"/>
            <w:jc w:val="start"/>
            <w:rPr>
              <w:sz w:val="36"/>
            </w:rPr>
          </w:pPr>
          <w:r>
            <w:rPr>
              <w:sz w:val="36"/>
            </w:rPr>
            <w:br/>
          </w:r>
          <w:r>
            <w:rPr>
              <w:b/>
              <w:sz w:val="36"/>
            </w:rPr>
            <w:t>ARTICLE I - DEFINITIONS</w:t>
          </w:r>
          <w:r>
            <w:rPr>
              <w:sz w:val="36"/>
            </w:rPr>
            <w:t xml:space="preserve"> </w:t>
            <w:tab/>
            <w:t>1</w:t>
          </w:r>
        </w:p>
        <w:p>
          <w:pPr>
            <w:pStyle w:val="Normal"/>
            <w:tabs>
              <w:tab w:val="clear" w:pos="720"/>
              <w:tab w:val="left" w:pos="1440" w:leader="none"/>
              <w:tab w:val="right" w:pos="9360" w:leader="dot"/>
            </w:tabs>
            <w:bidi w:val="0"/>
            <w:ind w:hanging="0" w:start="720"/>
            <w:jc w:val="start"/>
            <w:rPr>
              <w:sz w:val="36"/>
            </w:rPr>
          </w:pPr>
          <w:r>
            <w:rPr>
              <w:sz w:val="36"/>
            </w:rPr>
            <w:t>Section 1.01</w:t>
            <w:tab/>
            <w:t>Definitions</w:t>
            <w:tab/>
            <w:t>1</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II - CONVEYANCE</w:t>
          </w:r>
          <w:r>
            <w:rPr>
              <w:sz w:val="36"/>
            </w:rPr>
            <w:t xml:space="preserve"> </w:t>
            <w:tab/>
            <w:t>7</w:t>
          </w:r>
        </w:p>
        <w:p>
          <w:pPr>
            <w:pStyle w:val="Normal"/>
            <w:tabs>
              <w:tab w:val="clear" w:pos="720"/>
              <w:tab w:val="left" w:pos="1440" w:leader="none"/>
              <w:tab w:val="right" w:pos="9360" w:leader="dot"/>
            </w:tabs>
            <w:bidi w:val="0"/>
            <w:ind w:hanging="0" w:start="720"/>
            <w:jc w:val="start"/>
            <w:rPr>
              <w:sz w:val="36"/>
            </w:rPr>
          </w:pPr>
          <w:r>
            <w:rPr>
              <w:sz w:val="36"/>
            </w:rPr>
            <w:t>Section 2.01</w:t>
            <w:tab/>
            <w:t>Transfer of Asset LLC Interest</w:t>
            <w:tab/>
            <w:t>7</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III - CONDITIONS PRECEDENT</w:t>
          </w:r>
          <w:r>
            <w:rPr>
              <w:sz w:val="36"/>
            </w:rPr>
            <w:t xml:space="preserve"> </w:t>
            <w:tab/>
            <w:t>7</w:t>
          </w:r>
        </w:p>
        <w:p>
          <w:pPr>
            <w:pStyle w:val="Normal"/>
            <w:tabs>
              <w:tab w:val="clear" w:pos="720"/>
              <w:tab w:val="left" w:pos="1440" w:leader="none"/>
              <w:tab w:val="right" w:pos="9360" w:leader="dot"/>
            </w:tabs>
            <w:bidi w:val="0"/>
            <w:ind w:hanging="0" w:start="720"/>
            <w:jc w:val="start"/>
            <w:rPr>
              <w:sz w:val="36"/>
            </w:rPr>
          </w:pPr>
          <w:r>
            <w:rPr>
              <w:sz w:val="36"/>
            </w:rPr>
            <w:t>Section 3.01</w:t>
            <w:tab/>
            <w:t>Conditions Precedent to Closing</w:t>
            <w:tab/>
            <w:t>7</w:t>
          </w:r>
        </w:p>
        <w:p>
          <w:pPr>
            <w:pStyle w:val="Normal"/>
            <w:tabs>
              <w:tab w:val="clear" w:pos="720"/>
              <w:tab w:val="left" w:pos="1440" w:leader="none"/>
              <w:tab w:val="right" w:pos="9360" w:leader="dot"/>
            </w:tabs>
            <w:bidi w:val="0"/>
            <w:ind w:hanging="0" w:start="720"/>
            <w:jc w:val="start"/>
            <w:rPr>
              <w:sz w:val="36"/>
            </w:rPr>
          </w:pPr>
          <w:r>
            <w:rPr>
              <w:sz w:val="36"/>
            </w:rPr>
            <w:t>Section 3.02</w:t>
            <w:tab/>
            <w:t>Transfer Price Payment</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IV - AUCTION</w:t>
          </w:r>
          <w:r>
            <w:rPr>
              <w:sz w:val="36"/>
            </w:rPr>
            <w:t xml:space="preserve"> </w:t>
            <w:tab/>
            <w:t>9</w:t>
          </w:r>
        </w:p>
        <w:p>
          <w:pPr>
            <w:pStyle w:val="Normal"/>
            <w:tabs>
              <w:tab w:val="clear" w:pos="720"/>
              <w:tab w:val="left" w:pos="1440" w:leader="none"/>
              <w:tab w:val="right" w:pos="9360" w:leader="dot"/>
            </w:tabs>
            <w:bidi w:val="0"/>
            <w:ind w:hanging="0" w:start="720"/>
            <w:jc w:val="start"/>
            <w:rPr>
              <w:sz w:val="36"/>
            </w:rPr>
          </w:pPr>
          <w:r>
            <w:rPr>
              <w:sz w:val="36"/>
            </w:rPr>
            <w:t>Section 4.01</w:t>
            <w:tab/>
            <w:t>Auction</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 - REPRESENTATIONS AND WARRANTIES</w:t>
          </w:r>
          <w:r>
            <w:rPr>
              <w:sz w:val="36"/>
            </w:rPr>
            <w:t xml:space="preserve"> </w:t>
            <w:tab/>
            <w:t>9</w:t>
          </w:r>
        </w:p>
        <w:p>
          <w:pPr>
            <w:pStyle w:val="Normal"/>
            <w:tabs>
              <w:tab w:val="clear" w:pos="720"/>
              <w:tab w:val="left" w:pos="1440" w:leader="none"/>
              <w:tab w:val="right" w:pos="9360" w:leader="dot"/>
            </w:tabs>
            <w:bidi w:val="0"/>
            <w:ind w:hanging="0" w:start="720"/>
            <w:jc w:val="start"/>
            <w:rPr>
              <w:sz w:val="36"/>
            </w:rPr>
          </w:pPr>
          <w:r>
            <w:rPr>
              <w:sz w:val="36"/>
            </w:rPr>
            <w:t>Section 5.01</w:t>
            <w:tab/>
            <w:t>Representations and Warranties of the Transferor</w:t>
            <w:tab/>
            <w:t>9</w:t>
          </w:r>
        </w:p>
        <w:p>
          <w:pPr>
            <w:pStyle w:val="Normal"/>
            <w:tabs>
              <w:tab w:val="clear" w:pos="720"/>
              <w:tab w:val="left" w:pos="1440" w:leader="none"/>
              <w:tab w:val="right" w:pos="9360" w:leader="dot"/>
            </w:tabs>
            <w:bidi w:val="0"/>
            <w:ind w:hanging="0" w:start="720"/>
            <w:jc w:val="start"/>
            <w:rPr>
              <w:sz w:val="36"/>
            </w:rPr>
          </w:pPr>
          <w:r>
            <w:rPr>
              <w:sz w:val="36"/>
            </w:rPr>
            <w:t>Section 5.02</w:t>
            <w:tab/>
            <w:t>Representations and Warranties of the Sponsor</w:t>
            <w:tab/>
            <w:t>11</w:t>
          </w:r>
        </w:p>
        <w:p>
          <w:pPr>
            <w:pStyle w:val="Normal"/>
            <w:tabs>
              <w:tab w:val="clear" w:pos="720"/>
              <w:tab w:val="left" w:pos="1440" w:leader="none"/>
              <w:tab w:val="right" w:pos="9360" w:leader="dot"/>
            </w:tabs>
            <w:bidi w:val="0"/>
            <w:ind w:hanging="0" w:start="720"/>
            <w:jc w:val="start"/>
            <w:rPr>
              <w:sz w:val="36"/>
            </w:rPr>
          </w:pPr>
          <w:r>
            <w:rPr>
              <w:sz w:val="36"/>
            </w:rPr>
            <w:t>Section 5.03</w:t>
            <w:tab/>
            <w:t>Survival</w:t>
            <w:tab/>
            <w:t>13</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 - COVENANTS</w:t>
          </w:r>
          <w:r>
            <w:rPr>
              <w:sz w:val="36"/>
            </w:rPr>
            <w:t xml:space="preserve"> </w:t>
            <w:tab/>
            <w:t>13</w:t>
          </w:r>
        </w:p>
        <w:p>
          <w:pPr>
            <w:pStyle w:val="Normal"/>
            <w:tabs>
              <w:tab w:val="clear" w:pos="720"/>
              <w:tab w:val="left" w:pos="1440" w:leader="none"/>
              <w:tab w:val="right" w:pos="9360" w:leader="dot"/>
            </w:tabs>
            <w:bidi w:val="0"/>
            <w:ind w:hanging="0" w:start="720"/>
            <w:jc w:val="start"/>
            <w:rPr>
              <w:sz w:val="36"/>
            </w:rPr>
          </w:pPr>
          <w:r>
            <w:rPr>
              <w:sz w:val="36"/>
            </w:rPr>
            <w:t>Section 6.01</w:t>
            <w:tab/>
            <w:t>Covenants of the Transferor</w:t>
            <w:tab/>
            <w:t>13</w:t>
          </w:r>
        </w:p>
        <w:p>
          <w:pPr>
            <w:pStyle w:val="Normal"/>
            <w:tabs>
              <w:tab w:val="clear" w:pos="720"/>
              <w:tab w:val="left" w:pos="1440" w:leader="none"/>
              <w:tab w:val="right" w:pos="9360" w:leader="dot"/>
            </w:tabs>
            <w:bidi w:val="0"/>
            <w:ind w:hanging="0" w:start="720"/>
            <w:jc w:val="start"/>
            <w:rPr>
              <w:sz w:val="36"/>
            </w:rPr>
          </w:pPr>
          <w:r>
            <w:rPr>
              <w:sz w:val="36"/>
            </w:rPr>
            <w:t>Section 6.02</w:t>
            <w:tab/>
            <w:t>Covenants of the Sponsor</w:t>
            <w:tab/>
            <w:t>15</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VII - ASSIGNMENTS</w:t>
          </w:r>
          <w:r>
            <w:rPr>
              <w:sz w:val="36"/>
            </w:rPr>
            <w:t xml:space="preserve"> </w:t>
            <w:tab/>
            <w:t>17</w:t>
          </w:r>
        </w:p>
        <w:p>
          <w:pPr>
            <w:pStyle w:val="Normal"/>
            <w:tabs>
              <w:tab w:val="clear" w:pos="720"/>
              <w:tab w:val="left" w:pos="1440" w:leader="none"/>
              <w:tab w:val="right" w:pos="9360" w:leader="dot"/>
            </w:tabs>
            <w:bidi w:val="0"/>
            <w:ind w:hanging="0" w:start="720"/>
            <w:jc w:val="start"/>
            <w:rPr>
              <w:sz w:val="36"/>
            </w:rPr>
          </w:pPr>
          <w:r>
            <w:rPr>
              <w:sz w:val="36"/>
            </w:rPr>
            <w:t>Section 7.01</w:t>
            <w:tab/>
            <w:t>Assignment by Asset LLC, the Transferor, the Sponsor, or the Trust</w:t>
            <w:tab/>
            <w:t>17</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VIII - INDEMNITIES</w:t>
          </w:r>
          <w:r>
            <w:rPr>
              <w:sz w:val="36"/>
            </w:rPr>
            <w:t xml:space="preserve">  </w:t>
            <w:tab/>
            <w:t>17</w:t>
          </w:r>
        </w:p>
        <w:p>
          <w:pPr>
            <w:pStyle w:val="Normal"/>
            <w:tabs>
              <w:tab w:val="clear" w:pos="720"/>
              <w:tab w:val="left" w:pos="1440" w:leader="none"/>
              <w:tab w:val="right" w:pos="9360" w:leader="dot"/>
            </w:tabs>
            <w:bidi w:val="0"/>
            <w:ind w:hanging="0" w:start="720"/>
            <w:jc w:val="start"/>
            <w:rPr>
              <w:sz w:val="36"/>
            </w:rPr>
          </w:pPr>
          <w:r>
            <w:rPr>
              <w:sz w:val="36"/>
            </w:rPr>
            <w:t>Section 8.01</w:t>
            <w:tab/>
            <w:t>Indemnities</w:t>
            <w:tab/>
            <w:t>17</w:t>
          </w:r>
        </w:p>
        <w:p>
          <w:pPr>
            <w:pStyle w:val="Normal"/>
            <w:tabs>
              <w:tab w:val="clear" w:pos="720"/>
              <w:tab w:val="left" w:pos="1440" w:leader="none"/>
              <w:tab w:val="right" w:pos="9360" w:leader="dot"/>
            </w:tabs>
            <w:bidi w:val="0"/>
            <w:ind w:hanging="0" w:start="720"/>
            <w:jc w:val="start"/>
            <w:rPr>
              <w:sz w:val="36"/>
            </w:rPr>
          </w:pPr>
          <w:r>
            <w:rPr>
              <w:sz w:val="36"/>
            </w:rPr>
            <w:t>Section 8.02</w:t>
            <w:tab/>
            <w:t>Indemnity Procedure</w:t>
            <w:tab/>
            <w:t>18</w:t>
          </w:r>
        </w:p>
        <w:p>
          <w:pPr>
            <w:pStyle w:val="Normal"/>
            <w:tabs>
              <w:tab w:val="clear" w:pos="720"/>
              <w:tab w:val="left" w:pos="1440" w:leader="none"/>
              <w:tab w:val="right" w:pos="9360" w:leader="dot"/>
            </w:tabs>
            <w:bidi w:val="0"/>
            <w:ind w:hanging="0" w:start="720"/>
            <w:jc w:val="start"/>
            <w:rPr>
              <w:sz w:val="36"/>
            </w:rPr>
          </w:pPr>
          <w:r>
            <w:rPr>
              <w:sz w:val="36"/>
            </w:rPr>
            <w:t>Section 8.03</w:t>
            <w:tab/>
            <w:t>Survival</w:t>
            <w:tab/>
            <w:t>19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IX -  MISCELLANEOUS</w:t>
          </w:r>
          <w:r>
            <w:rPr>
              <w:sz w:val="36"/>
            </w:rPr>
            <w:tab/>
          </w:r>
          <w:bookmarkStart w:id="1" w:name="Redline_32_10"/>
          <w:bookmarkEnd w:id="1"/>
          <w:ins w:id="0" w:author="">
            <w:r>
              <w:rPr>
                <w:strike/>
                <w:sz w:val="36"/>
              </w:rPr>
              <w:t>19</w:t>
            </w:r>
          </w:ins>
          <w:r>
            <w:rPr>
              <w:sz w:val="36"/>
            </w:rPr>
            <w:t xml:space="preserve"> </w:t>
          </w:r>
          <w:bookmarkStart w:id="2" w:name="Redline_32_2"/>
          <w:bookmarkEnd w:id="2"/>
          <w:ins w:id="1" w:author="">
            <w:r>
              <w:rPr>
                <w:b/>
                <w:sz w:val="36"/>
                <w:u w:val="double"/>
              </w:rPr>
              <w:t>20</w:t>
            </w:r>
          </w:ins>
        </w:p>
        <w:p>
          <w:pPr>
            <w:pStyle w:val="Normal"/>
            <w:tabs>
              <w:tab w:val="clear" w:pos="720"/>
              <w:tab w:val="left" w:pos="1440" w:leader="none"/>
              <w:tab w:val="right" w:pos="9360" w:leader="dot"/>
            </w:tabs>
            <w:bidi w:val="0"/>
            <w:ind w:hanging="0" w:start="720"/>
            <w:jc w:val="start"/>
            <w:rPr>
              <w:sz w:val="36"/>
            </w:rPr>
          </w:pPr>
          <w:r>
            <w:rPr>
              <w:sz w:val="36"/>
            </w:rPr>
            <w:t>Section 9.01</w:t>
            <w:tab/>
            <w:t xml:space="preserve">Incorporation </w:t>
          </w:r>
          <w:ins w:id="2" w:author="">
            <w:r>
              <w:rPr>
                <w:strike/>
                <w:sz w:val="36"/>
              </w:rPr>
              <w:t>19</w:t>
            </w:r>
          </w:ins>
          <w:r>
            <w:rPr>
              <w:sz w:val="36"/>
            </w:rPr>
            <w:t xml:space="preserve"> </w:t>
          </w:r>
          <w:ins w:id="3" w:author="">
            <w:r>
              <w:rPr>
                <w:b/>
                <w:sz w:val="36"/>
                <w:u w:val="double"/>
              </w:rPr>
              <w:t>and Intention of Parties</w:t>
              <w:tab/>
              <w:t>20</w:t>
            </w:r>
          </w:ins>
        </w:p>
        <w:p>
          <w:pPr>
            <w:pStyle w:val="Normal"/>
            <w:tabs>
              <w:tab w:val="clear" w:pos="720"/>
              <w:tab w:val="left" w:pos="1440" w:leader="none"/>
              <w:tab w:val="right" w:pos="9360" w:leader="dot"/>
            </w:tabs>
            <w:bidi w:val="0"/>
            <w:ind w:hanging="0" w:start="720"/>
            <w:jc w:val="start"/>
            <w:rPr>
              <w:sz w:val="36"/>
            </w:rPr>
          </w:pPr>
          <w:r>
            <w:rPr>
              <w:sz w:val="36"/>
            </w:rPr>
            <w:t>Section 9.02</w:t>
            <w:tab/>
            <w:t>Characterization for Tax Purposes</w:t>
            <w:tab/>
            <w:t>20</w:t>
          </w:r>
        </w:p>
        <w:p>
          <w:pPr>
            <w:pStyle w:val="Normal"/>
            <w:tabs>
              <w:tab w:val="clear" w:pos="720"/>
              <w:tab w:val="left" w:pos="1440" w:leader="none"/>
              <w:tab w:val="right" w:pos="9360" w:leader="dot"/>
            </w:tabs>
            <w:bidi w:val="0"/>
            <w:ind w:hanging="0" w:start="720"/>
            <w:jc w:val="start"/>
            <w:rPr>
              <w:sz w:val="36"/>
            </w:rPr>
          </w:pPr>
          <w:r>
            <w:rPr>
              <w:sz w:val="36"/>
            </w:rPr>
            <w:t>Section 9.03</w:t>
            <w:tab/>
            <w:t>Further Assurances</w:t>
            <w:tab/>
          </w:r>
          <w:ins w:id="4" w:author="">
            <w:r>
              <w:rPr>
                <w:strike/>
                <w:sz w:val="36"/>
              </w:rPr>
              <w:t>20</w:t>
            </w:r>
          </w:ins>
          <w:r>
            <w:rPr>
              <w:sz w:val="36"/>
            </w:rPr>
            <w:t xml:space="preserve"> </w:t>
          </w:r>
          <w:ins w:id="5" w:author="">
            <w:r>
              <w:rPr>
                <w:b/>
                <w:sz w:val="36"/>
                <w:u w:val="double"/>
              </w:rPr>
              <w:t>21</w:t>
            </w:r>
          </w:ins>
        </w:p>
        <w:p>
          <w:pPr>
            <w:pStyle w:val="Normal"/>
            <w:tabs>
              <w:tab w:val="clear" w:pos="720"/>
              <w:tab w:val="left" w:pos="1440" w:leader="none"/>
              <w:tab w:val="right" w:pos="9360" w:leader="dot"/>
            </w:tabs>
            <w:bidi w:val="0"/>
            <w:ind w:hanging="0" w:start="720"/>
            <w:jc w:val="start"/>
            <w:rPr>
              <w:sz w:val="36"/>
            </w:rPr>
          </w:pPr>
          <w:r>
            <w:rPr>
              <w:sz w:val="36"/>
            </w:rPr>
            <w:t>Section 9.04</w:t>
            <w:tab/>
            <w:t>Accounting Terms and Determinations</w:t>
            <w:tab/>
            <w:t>21</w:t>
          </w:r>
        </w:p>
        <w:p>
          <w:pPr>
            <w:pStyle w:val="Normal"/>
            <w:tabs>
              <w:tab w:val="clear" w:pos="720"/>
              <w:tab w:val="left" w:pos="1440" w:leader="none"/>
              <w:tab w:val="right" w:pos="9360" w:leader="dot"/>
            </w:tabs>
            <w:bidi w:val="0"/>
            <w:ind w:hanging="0" w:start="720"/>
            <w:jc w:val="start"/>
            <w:rPr>
              <w:sz w:val="36"/>
            </w:rPr>
          </w:pPr>
          <w:r>
            <w:rPr>
              <w:sz w:val="36"/>
            </w:rPr>
            <w:t>Section 9.05</w:t>
            <w:tab/>
            <w:t>Survival</w:t>
            <w:tab/>
            <w:t>21</w:t>
          </w:r>
        </w:p>
        <w:p>
          <w:pPr>
            <w:pStyle w:val="Normal"/>
            <w:tabs>
              <w:tab w:val="clear" w:pos="720"/>
              <w:tab w:val="left" w:pos="1440" w:leader="none"/>
              <w:tab w:val="right" w:pos="9360" w:leader="dot"/>
            </w:tabs>
            <w:bidi w:val="0"/>
            <w:ind w:hanging="0" w:start="720"/>
            <w:jc w:val="start"/>
            <w:rPr>
              <w:sz w:val="36"/>
            </w:rPr>
          </w:pPr>
          <w:r>
            <w:rPr>
              <w:sz w:val="36"/>
            </w:rPr>
            <w:t>Section 9.06</w:t>
            <w:tab/>
            <w:t>Notices</w:t>
            <w:tab/>
            <w:t>21</w:t>
          </w:r>
        </w:p>
        <w:p>
          <w:pPr>
            <w:pStyle w:val="Normal"/>
            <w:tabs>
              <w:tab w:val="clear" w:pos="720"/>
              <w:tab w:val="left" w:pos="1440" w:leader="none"/>
              <w:tab w:val="right" w:pos="9360" w:leader="dot"/>
            </w:tabs>
            <w:bidi w:val="0"/>
            <w:ind w:hanging="0" w:start="720"/>
            <w:jc w:val="start"/>
            <w:rPr>
              <w:sz w:val="36"/>
            </w:rPr>
          </w:pPr>
          <w:r>
            <w:rPr>
              <w:sz w:val="36"/>
            </w:rPr>
            <w:t>Section 9.07</w:t>
            <w:tab/>
            <w:t>Severability</w:t>
            <w:tab/>
            <w:t>21</w:t>
          </w:r>
        </w:p>
        <w:p>
          <w:pPr>
            <w:pStyle w:val="Normal"/>
            <w:tabs>
              <w:tab w:val="clear" w:pos="720"/>
              <w:tab w:val="left" w:pos="1440" w:leader="none"/>
              <w:tab w:val="left" w:pos="2160" w:leader="none"/>
              <w:tab w:val="left" w:pos="2880" w:leader="none"/>
              <w:tab w:val="right" w:pos="9360" w:leader="dot"/>
            </w:tabs>
            <w:bidi w:val="0"/>
            <w:ind w:hanging="0" w:start="720"/>
            <w:jc w:val="start"/>
            <w:rPr>
              <w:sz w:val="36"/>
            </w:rPr>
          </w:pPr>
          <w:r>
            <w:rPr>
              <w:sz w:val="36"/>
            </w:rPr>
            <w:t>Section 9.08</w:t>
            <w:tab/>
            <w:t>Amendments, Etc.</w:t>
            <w:tab/>
          </w:r>
          <w:bookmarkStart w:id="3" w:name="Redline_32_11"/>
          <w:bookmarkEnd w:id="3"/>
          <w:ins w:id="6" w:author="">
            <w:r>
              <w:rPr>
                <w:strike/>
                <w:sz w:val="36"/>
              </w:rPr>
              <w:t>21</w:t>
            </w:r>
          </w:ins>
          <w:r>
            <w:rPr>
              <w:sz w:val="36"/>
            </w:rPr>
            <w:t xml:space="preserve"> </w:t>
          </w:r>
          <w:bookmarkStart w:id="4" w:name="Redline_32_3"/>
          <w:bookmarkEnd w:id="4"/>
          <w:ins w:id="7" w:author="">
            <w:r>
              <w:rPr>
                <w:b/>
                <w:sz w:val="36"/>
                <w:u w:val="double"/>
              </w:rPr>
              <w:t>22</w:t>
            </w:r>
          </w:ins>
        </w:p>
        <w:p>
          <w:pPr>
            <w:pStyle w:val="Normal"/>
            <w:tabs>
              <w:tab w:val="clear" w:pos="720"/>
              <w:tab w:val="left" w:pos="1440" w:leader="none"/>
              <w:tab w:val="right" w:pos="9360" w:leader="dot"/>
            </w:tabs>
            <w:bidi w:val="0"/>
            <w:ind w:hanging="0" w:start="720"/>
            <w:jc w:val="start"/>
            <w:rPr>
              <w:sz w:val="36"/>
            </w:rPr>
          </w:pPr>
          <w:r>
            <w:rPr>
              <w:sz w:val="36"/>
            </w:rPr>
            <w:t>Section 9.09</w:t>
            <w:tab/>
            <w:t>Headings</w:t>
            <w:tab/>
            <w:t>22</w:t>
          </w:r>
        </w:p>
        <w:p>
          <w:pPr>
            <w:pStyle w:val="Normal"/>
            <w:tabs>
              <w:tab w:val="clear" w:pos="720"/>
              <w:tab w:val="left" w:pos="1440" w:leader="none"/>
              <w:tab w:val="right" w:pos="9360" w:leader="dot"/>
            </w:tabs>
            <w:bidi w:val="0"/>
            <w:ind w:hanging="0" w:start="720"/>
            <w:jc w:val="start"/>
            <w:rPr>
              <w:sz w:val="36"/>
            </w:rPr>
          </w:pPr>
          <w:r>
            <w:rPr>
              <w:sz w:val="36"/>
            </w:rPr>
            <w:t>Section 9.10</w:t>
            <w:tab/>
            <w:t>Counterparts</w:t>
            <w:tab/>
            <w:t>22</w:t>
          </w:r>
        </w:p>
        <w:p>
          <w:pPr>
            <w:pStyle w:val="Normal"/>
            <w:tabs>
              <w:tab w:val="clear" w:pos="720"/>
              <w:tab w:val="left" w:pos="1440" w:leader="none"/>
              <w:tab w:val="right" w:pos="9360" w:leader="dot"/>
            </w:tabs>
            <w:bidi w:val="0"/>
            <w:ind w:hanging="0" w:start="720"/>
            <w:jc w:val="start"/>
            <w:rPr>
              <w:sz w:val="36"/>
            </w:rPr>
          </w:pPr>
          <w:r>
            <w:rPr>
              <w:sz w:val="36"/>
            </w:rPr>
            <w:t>Section 9.11</w:t>
            <w:tab/>
            <w:t>Time</w:t>
            <w:tab/>
            <w:t>22</w:t>
          </w:r>
        </w:p>
        <w:p>
          <w:pPr>
            <w:pStyle w:val="Normal"/>
            <w:tabs>
              <w:tab w:val="clear" w:pos="720"/>
              <w:tab w:val="left" w:pos="1440" w:leader="none"/>
              <w:tab w:val="right" w:pos="9360" w:leader="dot"/>
            </w:tabs>
            <w:bidi w:val="0"/>
            <w:ind w:hanging="0" w:start="720"/>
            <w:jc w:val="start"/>
            <w:rPr>
              <w:sz w:val="36"/>
            </w:rPr>
          </w:pPr>
          <w:r>
            <w:rPr>
              <w:sz w:val="36"/>
            </w:rPr>
            <w:t>Section 9.12</w:t>
            <w:tab/>
            <w:t>The Trustee</w:t>
            <w:tab/>
            <w:t>22</w:t>
          </w:r>
        </w:p>
        <w:p>
          <w:pPr>
            <w:pStyle w:val="Normal"/>
            <w:tabs>
              <w:tab w:val="clear" w:pos="720"/>
              <w:tab w:val="left" w:pos="1440" w:leader="none"/>
              <w:tab w:val="right" w:pos="9360" w:leader="dot"/>
            </w:tabs>
            <w:bidi w:val="0"/>
            <w:ind w:hanging="0" w:start="720"/>
            <w:jc w:val="start"/>
            <w:rPr>
              <w:sz w:val="36"/>
            </w:rPr>
          </w:pPr>
          <w:r>
            <w:rPr>
              <w:sz w:val="36"/>
            </w:rPr>
            <w:t>Section 9.13</w:t>
            <w:tab/>
            <w:t>Interpretation and Reliance</w:t>
            <w:tab/>
          </w:r>
          <w:ins w:id="8" w:author="">
            <w:r>
              <w:rPr>
                <w:strike/>
                <w:sz w:val="36"/>
              </w:rPr>
              <w:t>22</w:t>
            </w:r>
          </w:ins>
          <w:r>
            <w:rPr>
              <w:sz w:val="36"/>
            </w:rPr>
            <w:t xml:space="preserve"> </w:t>
          </w:r>
          <w:ins w:id="9" w:author="">
            <w:r>
              <w:rPr>
                <w:b/>
                <w:sz w:val="36"/>
                <w:u w:val="double"/>
              </w:rPr>
              <w:t>23</w:t>
            </w:r>
          </w:ins>
        </w:p>
        <w:p>
          <w:pPr>
            <w:pStyle w:val="Normal"/>
            <w:bidi w:val="0"/>
            <w:ind w:hanging="0" w:start="720"/>
            <w:jc w:val="start"/>
            <w:rPr>
              <w:sz w:val="36"/>
            </w:rPr>
          </w:pPr>
          <w:r>
            <w:rPr>
              <w:sz w:val="36"/>
            </w:rPr>
            <w:t>Section 9.14</w:t>
            <w:tab/>
            <w:t xml:space="preserve">Construction of Agreement:  Particular Words; Successors; </w:t>
          </w:r>
        </w:p>
        <w:p>
          <w:pPr>
            <w:pStyle w:val="Normal"/>
            <w:tabs>
              <w:tab w:val="left" w:pos="720" w:leader="none"/>
              <w:tab w:val="left" w:pos="1440" w:leader="none"/>
              <w:tab w:val="left" w:pos="2160" w:leader="none"/>
              <w:tab w:val="right" w:pos="9360" w:leader="dot"/>
            </w:tabs>
            <w:bidi w:val="0"/>
            <w:jc w:val="start"/>
            <w:rPr>
              <w:sz w:val="36"/>
            </w:rPr>
          </w:pPr>
          <w:r>
            <w:rPr>
              <w:sz w:val="36"/>
            </w:rPr>
            <w:tab/>
            <w:tab/>
            <w:tab/>
            <w:t xml:space="preserve">Amendments </w:t>
            <w:tab/>
          </w:r>
          <w:ins w:id="10" w:author="">
            <w:r>
              <w:rPr>
                <w:strike/>
                <w:sz w:val="36"/>
              </w:rPr>
              <w:t>22</w:t>
            </w:r>
          </w:ins>
          <w:r>
            <w:rPr>
              <w:sz w:val="36"/>
            </w:rPr>
            <w:t xml:space="preserve"> </w:t>
          </w:r>
          <w:ins w:id="11" w:author="">
            <w:r>
              <w:rPr>
                <w:b/>
                <w:sz w:val="36"/>
                <w:u w:val="double"/>
              </w:rPr>
              <w:t>23</w:t>
            </w:r>
          </w:ins>
        </w:p>
        <w:p>
          <w:pPr>
            <w:pStyle w:val="Normal"/>
            <w:tabs>
              <w:tab w:val="clear" w:pos="720"/>
              <w:tab w:val="left" w:pos="1440" w:leader="none"/>
              <w:tab w:val="right" w:pos="9360" w:leader="dot"/>
            </w:tabs>
            <w:bidi w:val="0"/>
            <w:ind w:hanging="0" w:start="720"/>
            <w:jc w:val="start"/>
            <w:rPr>
              <w:sz w:val="36"/>
            </w:rPr>
          </w:pPr>
          <w:r>
            <w:rPr>
              <w:sz w:val="36"/>
            </w:rPr>
            <w:t>Section 9.15</w:t>
            <w:tab/>
            <w:t>Entire Agreement</w:t>
            <w:tab/>
            <w:t>23</w:t>
          </w:r>
        </w:p>
        <w:p>
          <w:pPr>
            <w:pStyle w:val="Normal"/>
            <w:tabs>
              <w:tab w:val="clear" w:pos="720"/>
              <w:tab w:val="left" w:pos="1440" w:leader="none"/>
              <w:tab w:val="right" w:pos="9360" w:leader="dot"/>
            </w:tabs>
            <w:bidi w:val="0"/>
            <w:ind w:hanging="0" w:start="720"/>
            <w:jc w:val="start"/>
            <w:rPr>
              <w:sz w:val="36"/>
            </w:rPr>
          </w:pPr>
          <w:r>
            <w:rPr>
              <w:sz w:val="36"/>
            </w:rPr>
            <w:t>Section 9.16</w:t>
            <w:tab/>
            <w:t>Limitation of Liability</w:t>
            <w:tab/>
            <w:t>23</w:t>
          </w:r>
        </w:p>
        <w:p>
          <w:pPr>
            <w:pStyle w:val="Normal"/>
            <w:tabs>
              <w:tab w:val="clear" w:pos="720"/>
              <w:tab w:val="left" w:pos="1440" w:leader="none"/>
              <w:tab w:val="right" w:pos="9360" w:leader="dot"/>
            </w:tabs>
            <w:bidi w:val="0"/>
            <w:ind w:hanging="0" w:start="720"/>
            <w:jc w:val="start"/>
            <w:rPr>
              <w:sz w:val="36"/>
            </w:rPr>
          </w:pPr>
          <w:r>
            <w:rPr>
              <w:sz w:val="36"/>
            </w:rPr>
            <w:t>Section 9.17</w:t>
            <w:tab/>
            <w:t>Dispute Resolution</w:t>
            <w:tab/>
          </w:r>
          <w:ins w:id="12" w:author="">
            <w:r>
              <w:rPr>
                <w:strike/>
                <w:sz w:val="36"/>
              </w:rPr>
              <w:t>23</w:t>
            </w:r>
          </w:ins>
          <w:r>
            <w:rPr>
              <w:sz w:val="36"/>
            </w:rPr>
            <w:t xml:space="preserve"> </w:t>
          </w:r>
          <w:ins w:id="13" w:author="">
            <w:r>
              <w:rPr>
                <w:b/>
                <w:sz w:val="36"/>
                <w:u w:val="double"/>
              </w:rPr>
              <w:t>24</w:t>
            </w:r>
          </w:ins>
        </w:p>
        <w:p>
          <w:pPr>
            <w:pStyle w:val="Normal"/>
            <w:tabs>
              <w:tab w:val="clear" w:pos="720"/>
              <w:tab w:val="left" w:pos="1440" w:leader="none"/>
              <w:tab w:val="right" w:pos="9360" w:leader="dot"/>
            </w:tabs>
            <w:bidi w:val="0"/>
            <w:ind w:hanging="0" w:start="720"/>
            <w:jc w:val="start"/>
            <w:rPr>
              <w:sz w:val="36"/>
            </w:rPr>
          </w:pPr>
          <w:r>
            <w:rPr>
              <w:sz w:val="36"/>
            </w:rPr>
            <w:t>Section 9.18</w:t>
            <w:tab/>
            <w:t>Governing Law</w:t>
            <w:tab/>
            <w:t>25</w:t>
          </w:r>
        </w:p>
        <w:p>
          <w:pPr>
            <w:pStyle w:val="Normal"/>
            <w:tabs>
              <w:tab w:val="clear" w:pos="720"/>
              <w:tab w:val="left" w:pos="1440" w:leader="none"/>
              <w:tab w:val="right" w:pos="9360" w:leader="dot"/>
            </w:tabs>
            <w:bidi w:val="0"/>
            <w:ind w:hanging="0" w:start="720"/>
            <w:jc w:val="start"/>
            <w:rPr>
              <w:sz w:val="36"/>
            </w:rPr>
          </w:pPr>
          <w:r>
            <w:rPr>
              <w:sz w:val="36"/>
            </w:rPr>
            <w:t>Section 9.19</w:t>
            <w:tab/>
            <w:t>Benefit</w:t>
            <w:tab/>
            <w:t>25</w:t>
          </w:r>
          <w:r>
            <w:rPr>
              <w:sz w:val="36"/>
            </w:rPr>
            <w:fldChar w:fldCharType="end"/>
          </w:r>
        </w:p>
      </w:sdtContent>
    </w:sdt>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b/>
          <w:sz w:val="36"/>
        </w:rPr>
        <w:t>APPENDICES; SCHEDULES</w:t>
      </w:r>
    </w:p>
    <w:p>
      <w:pPr>
        <w:pStyle w:val="Normal"/>
        <w:bidi w:val="0"/>
        <w:jc w:val="start"/>
        <w:rPr>
          <w:sz w:val="36"/>
        </w:rPr>
      </w:pPr>
      <w:r>
        <w:rPr>
          <w:sz w:val="36"/>
        </w:rPr>
      </w:r>
    </w:p>
    <w:p>
      <w:pPr>
        <w:pStyle w:val="Normal"/>
        <w:tabs>
          <w:tab w:val="left" w:pos="720" w:leader="none"/>
          <w:tab w:val="left" w:pos="1440" w:leader="none"/>
          <w:tab w:val="left" w:pos="2160" w:leader="none"/>
        </w:tabs>
        <w:bidi w:val="0"/>
        <w:ind w:hanging="2160" w:start="2160"/>
        <w:jc w:val="start"/>
        <w:rPr>
          <w:sz w:val="36"/>
        </w:rPr>
      </w:pPr>
      <w:r>
        <w:rPr>
          <w:sz w:val="36"/>
        </w:rPr>
        <w:t>Schedule I</w:t>
        <w:tab/>
        <w:t>-</w:t>
        <w:tab/>
        <w:t>Communications to Parties</w:t>
      </w:r>
    </w:p>
    <w:p>
      <w:pPr>
        <w:pStyle w:val="Normal"/>
        <w:tabs>
          <w:tab w:val="left" w:pos="720" w:leader="none"/>
          <w:tab w:val="left" w:pos="1440" w:leader="none"/>
          <w:tab w:val="left" w:pos="2160" w:leader="none"/>
        </w:tabs>
        <w:bidi w:val="0"/>
        <w:ind w:hanging="2160" w:start="2160"/>
        <w:jc w:val="start"/>
        <w:rPr>
          <w:sz w:val="36"/>
        </w:rPr>
      </w:pPr>
      <w:r>
        <w:rPr>
          <w:sz w:val="36"/>
        </w:rPr>
        <w:t>Schedule II</w:t>
        <w:tab/>
        <w:t>-</w:t>
        <w:tab/>
        <w:t>Form of Assignment and Assumption Agreement</w:t>
      </w:r>
    </w:p>
    <w:p>
      <w:pPr>
        <w:pStyle w:val="Normal"/>
        <w:bidi w:val="0"/>
        <w:jc w:val="start"/>
        <w:rPr>
          <w:sz w:val="36"/>
        </w:rPr>
      </w:pPr>
      <w:r>
        <w:rPr>
          <w:sz w:val="36"/>
        </w:rPr>
      </w:r>
    </w:p>
    <w:p>
      <w:pPr>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440" w:right="1440" w:gutter="0" w:header="720" w:top="777" w:footer="1440" w:bottom="1497"/>
          <w:pgNumType w:start="1" w:fmt="lowerRoman"/>
          <w:cols w:num="2" w:space="720" w:equalWidth="true" w:sep="false"/>
          <w:formProt w:val="false"/>
          <w:textDirection w:val="lrTb"/>
          <w:docGrid w:type="default" w:linePitch="100" w:charSpace="0"/>
        </w:sectPr>
      </w:pPr>
    </w:p>
    <w:p>
      <w:pPr>
        <w:pStyle w:val="Normal"/>
        <w:bidi w:val="0"/>
        <w:jc w:val="start"/>
        <w:rPr>
          <w:sz w:val="36"/>
        </w:rPr>
      </w:pPr>
      <w:r>
        <w:rPr>
          <w:sz w:val="36"/>
        </w:rPr>
        <w:tab/>
        <w:t>This</w:t>
      </w:r>
      <w:r>
        <w:rPr>
          <w:b/>
          <w:sz w:val="36"/>
        </w:rPr>
        <w:t xml:space="preserve"> TRANSFER AND AUCTION AGREEMENT</w:t>
      </w:r>
      <w:r>
        <w:rPr>
          <w:sz w:val="36"/>
        </w:rPr>
        <w:t xml:space="preserve">, dated as of </w:t>
      </w:r>
      <w:r>
        <w:rPr>
          <w:b/>
          <w:i/>
          <w:sz w:val="36"/>
        </w:rPr>
        <w:t>[date]</w:t>
      </w:r>
      <w:r>
        <w:rPr>
          <w:sz w:val="36"/>
        </w:rPr>
        <w:t xml:space="preserve"> (this “</w:t>
      </w:r>
      <w:r>
        <w:rPr>
          <w:sz w:val="36"/>
          <w:u w:val="single"/>
        </w:rPr>
        <w:t>Transfer and Auction Agreement</w:t>
      </w:r>
      <w:r>
        <w:rPr>
          <w:sz w:val="36"/>
        </w:rPr>
        <w:t xml:space="preserve">”), is executed by and among </w:t>
      </w:r>
      <w:r>
        <w:rPr>
          <w:b/>
          <w:i/>
          <w:sz w:val="36"/>
        </w:rPr>
        <w:t>[Name of Transferor]</w:t>
      </w:r>
      <w:r>
        <w:rPr>
          <w:sz w:val="36"/>
        </w:rPr>
        <w:t xml:space="preserve">, a </w:t>
      </w:r>
      <w:r>
        <w:rPr>
          <w:b/>
          <w:i/>
          <w:sz w:val="36"/>
        </w:rPr>
        <w:t>[limited liability company]</w:t>
      </w:r>
      <w:r>
        <w:rPr>
          <w:sz w:val="36"/>
        </w:rPr>
        <w:t xml:space="preserve"> </w:t>
      </w:r>
      <w:r>
        <w:rPr>
          <w:b/>
          <w:i/>
          <w:sz w:val="36"/>
        </w:rPr>
        <w:t>[business trust]</w:t>
      </w:r>
      <w:r>
        <w:rPr>
          <w:sz w:val="36"/>
        </w:rPr>
        <w:t xml:space="preserve"> organized and existing under the laws of the State of ____________ (“</w:t>
      </w:r>
      <w:r>
        <w:rPr>
          <w:sz w:val="36"/>
          <w:u w:val="single"/>
        </w:rPr>
        <w:t>the Transferor</w:t>
      </w:r>
      <w:r>
        <w:rPr>
          <w:sz w:val="36"/>
        </w:rPr>
        <w:t xml:space="preserve">”), </w:t>
      </w:r>
      <w:r>
        <w:rPr>
          <w:b/>
          <w:i/>
          <w:sz w:val="36"/>
        </w:rPr>
        <w:t>[Name of Sponsor]</w:t>
      </w:r>
      <w:r>
        <w:rPr>
          <w:sz w:val="36"/>
        </w:rPr>
        <w:t xml:space="preserve">, a </w:t>
      </w:r>
      <w:r>
        <w:rPr>
          <w:b/>
          <w:i/>
          <w:sz w:val="36"/>
        </w:rPr>
        <w:t>[type of entity]</w:t>
      </w:r>
      <w:r>
        <w:rPr>
          <w:sz w:val="36"/>
        </w:rPr>
        <w:t xml:space="preserve"> organized and existing under the laws of the State of ________ (“</w:t>
      </w:r>
      <w:r>
        <w:rPr>
          <w:sz w:val="36"/>
          <w:u w:val="single"/>
        </w:rPr>
        <w:t>Sponsor</w:t>
      </w:r>
      <w:r>
        <w:rPr>
          <w:sz w:val="36"/>
        </w:rPr>
        <w:t>”) and Hawaii II 125-0 Trust (the “</w:t>
      </w:r>
      <w:r>
        <w:rPr>
          <w:sz w:val="36"/>
          <w:u w:val="single"/>
        </w:rPr>
        <w:t>Trust</w:t>
      </w:r>
      <w:r>
        <w:rPr>
          <w:sz w:val="36"/>
        </w:rPr>
        <w:t>”).</w:t>
      </w:r>
    </w:p>
    <w:p>
      <w:pPr>
        <w:pStyle w:val="Normal"/>
        <w:bidi w:val="0"/>
        <w:jc w:val="start"/>
        <w:rPr>
          <w:sz w:val="36"/>
        </w:rPr>
      </w:pPr>
      <w:r>
        <w:rPr>
          <w:sz w:val="36"/>
        </w:rPr>
      </w:r>
    </w:p>
    <w:p>
      <w:pPr>
        <w:pStyle w:val="Normal"/>
        <w:bidi w:val="0"/>
        <w:jc w:val="center"/>
        <w:rPr>
          <w:sz w:val="36"/>
        </w:rPr>
      </w:pPr>
      <w:r>
        <w:rPr>
          <w:b/>
          <w:sz w:val="36"/>
          <w:u w:val="single"/>
        </w:rPr>
        <w:t>RECITAL</w:t>
      </w:r>
    </w:p>
    <w:p>
      <w:pPr>
        <w:pStyle w:val="Normal"/>
        <w:bidi w:val="0"/>
        <w:jc w:val="start"/>
        <w:rPr>
          <w:sz w:val="36"/>
        </w:rPr>
      </w:pPr>
      <w:r>
        <w:rPr>
          <w:sz w:val="36"/>
        </w:rPr>
      </w:r>
    </w:p>
    <w:p>
      <w:pPr>
        <w:pStyle w:val="Normal"/>
        <w:bidi w:val="0"/>
        <w:jc w:val="start"/>
        <w:rPr>
          <w:sz w:val="36"/>
        </w:rPr>
      </w:pPr>
      <w:r>
        <w:rPr>
          <w:sz w:val="36"/>
        </w:rPr>
        <w:tab/>
        <w:t>The Trust has agreed to acquire, and the Transferor has agreed to transfer, 100% of the Class B limited liability company membership interest (the “</w:t>
      </w:r>
      <w:r>
        <w:rPr>
          <w:sz w:val="36"/>
          <w:u w:val="single"/>
        </w:rPr>
        <w:t>Asset LLC Interest</w:t>
      </w:r>
      <w:r>
        <w:rPr>
          <w:sz w:val="36"/>
        </w:rPr>
        <w:t xml:space="preserve">”) in </w:t>
      </w:r>
      <w:r>
        <w:rPr>
          <w:b/>
          <w:i/>
          <w:sz w:val="36"/>
        </w:rPr>
        <w:t>[Name of Asset LLC]</w:t>
      </w:r>
      <w:r>
        <w:rPr>
          <w:sz w:val="36"/>
        </w:rPr>
        <w:t>, a limited liability company organized and existing under the laws of Delaware (“</w:t>
      </w:r>
      <w:r>
        <w:rPr>
          <w:sz w:val="36"/>
          <w:u w:val="single"/>
        </w:rPr>
        <w:t>Asset LLC</w:t>
      </w:r>
      <w:r>
        <w:rPr>
          <w:sz w:val="36"/>
        </w:rPr>
        <w:t>”).    Subject to and upon the terms and conditions herein set forth, including the creation and continuance of the Transferor as a single purpose, bankruptcy    remote entity, the parties are entering into this Transfer and Auction Agreement and the other Operative Documents are being entered into to facilitate the conveyance of the Asset LLC Interest and the financing of such acquisition.</w:t>
      </w:r>
    </w:p>
    <w:p>
      <w:pPr>
        <w:pStyle w:val="Normal"/>
        <w:bidi w:val="0"/>
        <w:jc w:val="start"/>
        <w:rPr>
          <w:sz w:val="36"/>
        </w:rPr>
      </w:pPr>
      <w:r>
        <w:rPr>
          <w:sz w:val="36"/>
        </w:rPr>
      </w:r>
    </w:p>
    <w:p>
      <w:pPr>
        <w:pStyle w:val="Normal"/>
        <w:bidi w:val="0"/>
        <w:jc w:val="center"/>
        <w:rPr>
          <w:sz w:val="36"/>
        </w:rPr>
      </w:pPr>
      <w:r>
        <w:rPr>
          <w:b/>
          <w:sz w:val="36"/>
          <w:u w:val="single"/>
        </w:rPr>
        <w:t>AGREEMENTS</w:t>
      </w:r>
    </w:p>
    <w:p>
      <w:pPr>
        <w:pStyle w:val="Normal"/>
        <w:bidi w:val="0"/>
        <w:jc w:val="start"/>
        <w:rPr>
          <w:sz w:val="36"/>
        </w:rPr>
      </w:pPr>
      <w:r>
        <w:rPr>
          <w:sz w:val="36"/>
        </w:rPr>
      </w:r>
    </w:p>
    <w:p>
      <w:pPr>
        <w:pStyle w:val="Normal"/>
        <w:bidi w:val="0"/>
        <w:jc w:val="start"/>
        <w:rPr>
          <w:sz w:val="36"/>
        </w:rPr>
      </w:pPr>
      <w:r>
        <w:rPr>
          <w:sz w:val="36"/>
        </w:rPr>
        <w:tab/>
        <w:t>For good and valuable consideration, the receipt and sufficiency of which are hereby acknowledged, the Transferor, the Sponsor and the Trust hereby agree as follows:</w:t>
      </w:r>
    </w:p>
    <w:p>
      <w:pPr>
        <w:pStyle w:val="Normal"/>
        <w:bidi w:val="0"/>
        <w:jc w:val="start"/>
        <w:rPr>
          <w:sz w:val="36"/>
        </w:rPr>
      </w:pPr>
      <w:r>
        <w:rPr>
          <w:sz w:val="36"/>
        </w:rPr>
      </w:r>
    </w:p>
    <w:p>
      <w:pPr>
        <w:pStyle w:val="Normal"/>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rPr>
      </w:pPr>
      <w:r>
        <w:rPr>
          <w:sz w:val="36"/>
        </w:rPr>
      </w:r>
    </w:p>
    <w:p>
      <w:pPr>
        <w:pStyle w:val="Normal"/>
        <w:bidi w:val="0"/>
        <w:jc w:val="start"/>
        <w:rPr>
          <w:sz w:val="36"/>
        </w:rPr>
      </w:pPr>
      <w:r>
        <w:fldChar w:fldCharType="begin"/>
      </w:r>
      <w:r>
        <w:rPr/>
        <w:instrText xml:space="preserve"> TC "ARTICLE IDEFINITIONS"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1.01</w:instrText>
        <w:tab/>
        <w:instrText xml:space="preserve">Definitions " \l 1 </w:instrText>
      </w:r>
      <w:r>
        <w:rPr>
          <w:sz w:val="36"/>
        </w:rPr>
        <w:fldChar w:fldCharType="separate"/>
      </w:r>
      <w:r>
        <w:rPr>
          <w:sz w:val="36"/>
        </w:rPr>
      </w:r>
      <w:r>
        <w:rPr>
          <w:sz w:val="36"/>
        </w:rPr>
        <w:fldChar w:fldCharType="end"/>
      </w:r>
      <w:r>
        <w:rPr>
          <w:sz w:val="36"/>
        </w:rPr>
        <w:t xml:space="preserve">. For all purposes of this Transfer and Auction Agreement, the following terms shall have the meanings set forth below:    </w:t>
      </w:r>
    </w:p>
    <w:p>
      <w:pPr>
        <w:pStyle w:val="Normal"/>
        <w:bidi w:val="0"/>
        <w:jc w:val="start"/>
        <w:rPr>
          <w:sz w:val="36"/>
        </w:rPr>
      </w:pPr>
      <w:r>
        <w:rPr>
          <w:sz w:val="36"/>
        </w:rPr>
      </w:r>
    </w:p>
    <w:p>
      <w:pPr>
        <w:pStyle w:val="Normal"/>
        <w:bidi w:val="0"/>
        <w:jc w:val="start"/>
        <w:rPr>
          <w:sz w:val="36"/>
        </w:rPr>
      </w:pPr>
      <w:r>
        <w:rPr>
          <w:sz w:val="36"/>
        </w:rPr>
        <w:tab/>
        <w:t>“</w:t>
      </w:r>
      <w:r>
        <w:rPr>
          <w:sz w:val="36"/>
          <w:u w:val="single"/>
        </w:rPr>
        <w:t>Accredited Investor</w:t>
      </w:r>
      <w:r>
        <w:rPr>
          <w:sz w:val="36"/>
        </w:rPr>
        <w:t>” shall mean an “Accredited Investor” within the meaning of Rule 501(a) under the Securities Act of 1933,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Action</w:t>
      </w:r>
      <w:r>
        <w:rPr>
          <w:sz w:val="36"/>
        </w:rPr>
        <w:t>” shall mean any action, cause of action, suit, proceeding (including any investigation, litigation, or inquiry), claim, demand, or arbitration.</w:t>
      </w:r>
    </w:p>
    <w:p>
      <w:pPr>
        <w:pStyle w:val="Normal"/>
        <w:bidi w:val="0"/>
        <w:jc w:val="start"/>
        <w:rPr>
          <w:sz w:val="36"/>
        </w:rPr>
      </w:pPr>
      <w:r>
        <w:rPr>
          <w:sz w:val="36"/>
        </w:rPr>
      </w:r>
    </w:p>
    <w:p>
      <w:pPr>
        <w:pStyle w:val="Normal"/>
        <w:bidi w:val="0"/>
        <w:jc w:val="start"/>
        <w:rPr>
          <w:sz w:val="36"/>
        </w:rPr>
      </w:pPr>
      <w:r>
        <w:rPr>
          <w:sz w:val="36"/>
        </w:rPr>
        <w:tab/>
        <w:t>“</w:t>
      </w:r>
      <w:r>
        <w:rPr>
          <w:sz w:val="36"/>
          <w:u w:val="single"/>
        </w:rPr>
        <w:t>Affiliate</w:t>
      </w:r>
      <w:r>
        <w:rPr>
          <w:sz w:val="36"/>
        </w:rPr>
        <w:t xml:space="preserve">” shall mean, with respect to a Person, any other Person which directly or indirectly through one or more intermediaries controls, or is controlled by, or is under common control with, such Person.    The term “control” (including the correlative term “controlled”) means the possession, directly or indirectly, of the power to direct or cause the direction of the management and policies of a Person, whether through the ownership of voting stock, by contract, or otherwise; </w:t>
      </w:r>
      <w:r>
        <w:rPr>
          <w:sz w:val="36"/>
          <w:u w:val="single"/>
        </w:rPr>
        <w:t>provided</w:t>
      </w:r>
      <w:r>
        <w:rPr>
          <w:sz w:val="36"/>
        </w:rPr>
        <w:t xml:space="preserve"> that under no circumstances shall the Lenders or the Series Certificate Holder be deemed to be Affiliates of the Trust or </w:t>
      </w:r>
      <w:r>
        <w:rPr>
          <w:i/>
          <w:sz w:val="36"/>
        </w:rPr>
        <w:t>vice versa</w:t>
      </w:r>
      <w:r>
        <w:rPr>
          <w:sz w:val="36"/>
        </w:rPr>
        <w:t>.</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w:t>
      </w:r>
      <w:r>
        <w:rPr>
          <w:sz w:val="36"/>
          <w:u w:val="single"/>
        </w:rPr>
        <w:t>Agent</w:t>
      </w:r>
      <w:r>
        <w:rPr>
          <w:sz w:val="36"/>
        </w:rPr>
        <w:t>” shall have the meaning ascribed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w:t>
      </w:r>
      <w:r>
        <w:rPr>
          <w:sz w:val="36"/>
        </w:rPr>
        <w:t xml:space="preserve">” shall mean </w:t>
      </w:r>
      <w:r>
        <w:rPr>
          <w:b/>
          <w:i/>
          <w:sz w:val="36"/>
        </w:rPr>
        <w:t>[describe asset]</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Agreement</w:t>
      </w:r>
      <w:r>
        <w:rPr>
          <w:sz w:val="36"/>
        </w:rPr>
        <w:t>” shall mean the Amended and Restated Limited Liability Company Agreement of Asset LLC dated as of the date hereof.</w:t>
      </w:r>
    </w:p>
    <w:p>
      <w:pPr>
        <w:pStyle w:val="Normal"/>
        <w:bidi w:val="0"/>
        <w:jc w:val="start"/>
        <w:rPr>
          <w:sz w:val="36"/>
        </w:rPr>
      </w:pPr>
      <w:r>
        <w:rPr>
          <w:sz w:val="36"/>
        </w:rPr>
      </w:r>
    </w:p>
    <w:p>
      <w:pPr>
        <w:pStyle w:val="Normal"/>
        <w:bidi w:val="0"/>
        <w:jc w:val="start"/>
        <w:rPr>
          <w:sz w:val="36"/>
        </w:rPr>
      </w:pPr>
      <w:r>
        <w:rPr>
          <w:sz w:val="36"/>
        </w:rPr>
        <w:tab/>
      </w:r>
      <w:r>
        <w:rPr>
          <w:sz w:val="36"/>
          <w:u w:val="single"/>
        </w:rPr>
        <w:t>Asset LLC Interest</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Note</w:t>
      </w:r>
      <w:r>
        <w:rPr>
          <w:sz w:val="36"/>
        </w:rPr>
        <w:t xml:space="preserve">” shall mean the promissory note of the Transferor in the principal amount of </w:t>
      </w:r>
      <w:r>
        <w:rPr>
          <w:b/>
          <w:i/>
          <w:sz w:val="36"/>
        </w:rPr>
        <w:t>[Amount]</w:t>
      </w:r>
      <w:r>
        <w:rPr>
          <w:sz w:val="36"/>
        </w:rPr>
        <w:t xml:space="preserve"> payable to Asset LLC in the form attached to the Asset LLC Agreement as Exhibit C.</w:t>
      </w:r>
      <w:r>
        <w:rPr>
          <w:b/>
          <w:i/>
          <w:sz w:val="36"/>
        </w:rPr>
        <w:t xml:space="preserve">    [If applicable]    </w:t>
      </w:r>
    </w:p>
    <w:p>
      <w:pPr>
        <w:pStyle w:val="Normal"/>
        <w:bidi w:val="0"/>
        <w:jc w:val="start"/>
        <w:rPr>
          <w:sz w:val="36"/>
        </w:rPr>
      </w:pPr>
      <w:r>
        <w:rPr>
          <w:sz w:val="36"/>
        </w:rPr>
      </w:r>
    </w:p>
    <w:p>
      <w:pPr>
        <w:pStyle w:val="Normal"/>
        <w:bidi w:val="0"/>
        <w:jc w:val="start"/>
        <w:rPr>
          <w:sz w:val="36"/>
        </w:rPr>
      </w:pPr>
      <w:r>
        <w:rPr>
          <w:sz w:val="36"/>
        </w:rPr>
        <w:tab/>
        <w:t>“</w:t>
      </w:r>
      <w:r>
        <w:rPr>
          <w:sz w:val="36"/>
          <w:u w:val="single"/>
        </w:rPr>
        <w:t>Auction</w:t>
      </w:r>
      <w:r>
        <w:rPr>
          <w:sz w:val="36"/>
        </w:rPr>
        <w:t>” shall have the meaning assigned to such term in Section 4.01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Bankruptcy Law</w:t>
      </w:r>
      <w:r>
        <w:rPr>
          <w:sz w:val="36"/>
        </w:rPr>
        <w:t>” shall mean Title 11 of the United States Code, and any applicable Federal, state, local, or other jurisdictional insolvency, reorganization, moratorium, fraudulent conveyance, or similar Law now or hereafter in effect for the relief of debtors.</w:t>
      </w:r>
    </w:p>
    <w:p>
      <w:pPr>
        <w:pStyle w:val="Normal"/>
        <w:bidi w:val="0"/>
        <w:jc w:val="start"/>
        <w:rPr>
          <w:sz w:val="36"/>
        </w:rPr>
      </w:pPr>
      <w:r>
        <w:rPr>
          <w:sz w:val="36"/>
        </w:rPr>
      </w:r>
    </w:p>
    <w:p>
      <w:pPr>
        <w:pStyle w:val="Normal"/>
        <w:bidi w:val="0"/>
        <w:jc w:val="start"/>
        <w:rPr>
          <w:sz w:val="36"/>
        </w:rPr>
      </w:pPr>
      <w:r>
        <w:rPr>
          <w:sz w:val="36"/>
        </w:rPr>
        <w:tab/>
        <w:t>“</w:t>
      </w:r>
      <w:r>
        <w:rPr>
          <w:sz w:val="36"/>
          <w:u w:val="single"/>
        </w:rPr>
        <w:t>Business Day</w:t>
      </w:r>
      <w:r>
        <w:rPr>
          <w:sz w:val="36"/>
        </w:rPr>
        <w:t>” means a day (other than a Saturday, Sunday or public holiday) which is a day on which banks are open for dealings in Dollars in New York City and Houston, Texas.</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Base Amount</w:t>
      </w:r>
      <w:r>
        <w:rPr>
          <w:sz w:val="36"/>
        </w:rPr>
        <w:t>” shall mean the face amount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Yield</w:t>
      </w:r>
      <w:r>
        <w:rPr>
          <w:sz w:val="36"/>
        </w:rPr>
        <w:t>” has the meaning specified in Section 1.01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Claims</w:t>
      </w:r>
      <w:r>
        <w:rPr>
          <w:sz w:val="36"/>
        </w:rPr>
        <w:t xml:space="preserve">” shall have the meaning specified in Section 9.17 of this Transfer and Auction Agreement. </w:t>
      </w:r>
    </w:p>
    <w:p>
      <w:pPr>
        <w:pStyle w:val="Normal"/>
        <w:bidi w:val="0"/>
        <w:jc w:val="start"/>
        <w:rPr>
          <w:sz w:val="36"/>
        </w:rPr>
      </w:pPr>
      <w:r>
        <w:rPr>
          <w:sz w:val="36"/>
        </w:rPr>
      </w:r>
    </w:p>
    <w:p>
      <w:pPr>
        <w:pStyle w:val="Normal"/>
        <w:bidi w:val="0"/>
        <w:jc w:val="start"/>
        <w:rPr>
          <w:sz w:val="36"/>
        </w:rPr>
      </w:pPr>
      <w:r>
        <w:rPr>
          <w:sz w:val="36"/>
        </w:rPr>
        <w:tab/>
        <w:t>“</w:t>
      </w:r>
      <w:r>
        <w:rPr>
          <w:sz w:val="36"/>
          <w:u w:val="single"/>
        </w:rPr>
        <w:t>Closing Date</w:t>
      </w:r>
      <w:r>
        <w:rPr>
          <w:sz w:val="36"/>
        </w:rPr>
        <w:t>” shall mean the date on which (a) the conditions precedent set forth in Section 3.01 of this Transfer and    Auction Agreement are satisfied and (b) the Trust pays the Transfer Price in exchange for the Asset LLC Interest in accordance with the terms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Code</w:t>
      </w:r>
      <w:r>
        <w:rPr>
          <w:sz w:val="36"/>
        </w:rPr>
        <w:t>” shall mean the Internal Revenue Code of 1986, as amended from time to time, together with the regulations thereunder, as in effect from time to time.    Section references to the Code are to the Code as in effect at the date of this Transfer and    Auction Agreement and any subsequent provisions of the Code amendatory thereof, supplemental thereto or substituted therefor.</w:t>
      </w:r>
    </w:p>
    <w:p>
      <w:pPr>
        <w:pStyle w:val="Normal"/>
        <w:bidi w:val="0"/>
        <w:jc w:val="start"/>
        <w:rPr>
          <w:sz w:val="36"/>
        </w:rPr>
      </w:pPr>
      <w:r>
        <w:rPr>
          <w:sz w:val="36"/>
        </w:rPr>
        <w:tab/>
        <w:t>“</w:t>
      </w:r>
      <w:r>
        <w:rPr>
          <w:sz w:val="36"/>
          <w:u w:val="single"/>
        </w:rPr>
        <w:t>Collection Account</w:t>
      </w:r>
      <w:r>
        <w:rPr>
          <w:sz w:val="36"/>
        </w:rPr>
        <w:t>” shall mean the Collection Account for the Series established by the Trustee pursuant to Section 5.03(a)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Consolidated</w:t>
      </w:r>
      <w:r>
        <w:rPr>
          <w:sz w:val="36"/>
        </w:rPr>
        <w:t>” shall mean the consolidation of the accounts of Enron and its Subsidiaries in accordance with GAAP.</w:t>
      </w:r>
    </w:p>
    <w:p>
      <w:pPr>
        <w:pStyle w:val="Normal"/>
        <w:bidi w:val="0"/>
        <w:jc w:val="start"/>
        <w:rPr>
          <w:sz w:val="36"/>
        </w:rPr>
      </w:pPr>
      <w:r>
        <w:rPr>
          <w:sz w:val="36"/>
        </w:rPr>
      </w:r>
    </w:p>
    <w:p>
      <w:pPr>
        <w:pStyle w:val="Normal"/>
        <w:bidi w:val="0"/>
        <w:jc w:val="start"/>
        <w:rPr>
          <w:sz w:val="36"/>
        </w:rPr>
      </w:pPr>
      <w:r>
        <w:rPr>
          <w:sz w:val="36"/>
        </w:rPr>
        <w:tab/>
        <w:t>“</w:t>
      </w:r>
      <w:r>
        <w:rPr>
          <w:sz w:val="36"/>
          <w:u w:val="single"/>
        </w:rPr>
        <w:t>Costs</w:t>
      </w:r>
      <w:r>
        <w:rPr>
          <w:sz w:val="36"/>
        </w:rPr>
        <w:t>” shall mean all costs, charges, fees, and other expenses of any kind or nature.</w:t>
      </w:r>
    </w:p>
    <w:p>
      <w:pPr>
        <w:pStyle w:val="Normal"/>
        <w:bidi w:val="0"/>
        <w:jc w:val="start"/>
        <w:rPr>
          <w:sz w:val="36"/>
        </w:rPr>
      </w:pPr>
      <w:r>
        <w:rPr>
          <w:sz w:val="36"/>
        </w:rPr>
      </w:r>
    </w:p>
    <w:p>
      <w:pPr>
        <w:pStyle w:val="Normal"/>
        <w:bidi w:val="0"/>
        <w:jc w:val="start"/>
        <w:rPr>
          <w:sz w:val="36"/>
        </w:rPr>
      </w:pPr>
      <w:r>
        <w:rPr>
          <w:sz w:val="36"/>
        </w:rPr>
        <w:tab/>
        <w:t>“</w:t>
      </w:r>
      <w:r>
        <w:rPr>
          <w:sz w:val="36"/>
          <w:u w:val="single"/>
        </w:rPr>
        <w:t>Default Interest Rate</w:t>
      </w:r>
      <w:r>
        <w:rPr>
          <w:sz w:val="36"/>
        </w:rPr>
        <w:t>” shall mean a rate per annum equal to the Default Rate (as defined in the Facility Agreement), as if the unpaid sum were unpaid principal of the Notes.</w:t>
      </w:r>
    </w:p>
    <w:p>
      <w:pPr>
        <w:pStyle w:val="Normal"/>
        <w:bidi w:val="0"/>
        <w:jc w:val="start"/>
        <w:rPr>
          <w:sz w:val="36"/>
        </w:rPr>
      </w:pPr>
      <w:r>
        <w:rPr>
          <w:sz w:val="36"/>
        </w:rPr>
      </w:r>
    </w:p>
    <w:p>
      <w:pPr>
        <w:pStyle w:val="Normal"/>
        <w:bidi w:val="0"/>
        <w:jc w:val="start"/>
        <w:rPr>
          <w:sz w:val="36"/>
        </w:rPr>
      </w:pPr>
      <w:r>
        <w:rPr>
          <w:sz w:val="36"/>
        </w:rPr>
        <w:tab/>
        <w:t>“</w:t>
      </w:r>
      <w:r>
        <w:rPr>
          <w:sz w:val="36"/>
          <w:u w:val="single"/>
        </w:rPr>
        <w:t>Enron</w:t>
      </w:r>
      <w:r>
        <w:rPr>
          <w:sz w:val="36"/>
        </w:rPr>
        <w:t>” shall mean Enron Corp., a corporation organized and existing under the laws of Oregon.</w:t>
      </w:r>
    </w:p>
    <w:p>
      <w:pPr>
        <w:pStyle w:val="Normal"/>
        <w:bidi w:val="0"/>
        <w:jc w:val="start"/>
        <w:rPr>
          <w:sz w:val="36"/>
        </w:rPr>
      </w:pPr>
      <w:r>
        <w:rPr>
          <w:sz w:val="36"/>
        </w:rPr>
      </w:r>
    </w:p>
    <w:p>
      <w:pPr>
        <w:pStyle w:val="Normal"/>
        <w:bidi w:val="0"/>
        <w:jc w:val="start"/>
        <w:rPr>
          <w:sz w:val="36"/>
        </w:rPr>
      </w:pPr>
      <w:r>
        <w:rPr>
          <w:sz w:val="36"/>
        </w:rPr>
        <w:tab/>
        <w:t>“</w:t>
      </w:r>
      <w:r>
        <w:rPr>
          <w:sz w:val="36"/>
          <w:u w:val="single"/>
        </w:rPr>
        <w:t>Environmental Law</w:t>
      </w:r>
      <w:r>
        <w:rPr>
          <w:sz w:val="36"/>
        </w:rPr>
        <w:t>”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bidi w:val="0"/>
        <w:jc w:val="start"/>
        <w:rPr>
          <w:sz w:val="36"/>
        </w:rPr>
      </w:pPr>
      <w:r>
        <w:rPr>
          <w:sz w:val="36"/>
        </w:rPr>
      </w:r>
    </w:p>
    <w:p>
      <w:pPr>
        <w:pStyle w:val="Normal"/>
        <w:bidi w:val="0"/>
        <w:jc w:val="start"/>
        <w:rPr>
          <w:sz w:val="36"/>
        </w:rPr>
      </w:pPr>
      <w:r>
        <w:rPr>
          <w:sz w:val="36"/>
        </w:rPr>
        <w:tab/>
        <w:t>“</w:t>
      </w:r>
      <w:r>
        <w:rPr>
          <w:sz w:val="36"/>
          <w:u w:val="single"/>
        </w:rPr>
        <w:t>ERISA</w:t>
      </w:r>
      <w:r>
        <w:rPr>
          <w:sz w:val="36"/>
        </w:rPr>
        <w:t>” shall mean the Employee Retirement Income Security Act of 1974 and the regulations thereunder, as amended from time to time and any successor statute.</w:t>
      </w:r>
    </w:p>
    <w:p>
      <w:pPr>
        <w:pStyle w:val="Normal"/>
        <w:bidi w:val="0"/>
        <w:jc w:val="start"/>
        <w:rPr>
          <w:sz w:val="36"/>
        </w:rPr>
      </w:pPr>
      <w:r>
        <w:rPr>
          <w:sz w:val="36"/>
        </w:rPr>
      </w:r>
    </w:p>
    <w:p>
      <w:pPr>
        <w:pStyle w:val="Normal"/>
        <w:bidi w:val="0"/>
        <w:jc w:val="start"/>
        <w:rPr>
          <w:sz w:val="36"/>
        </w:rPr>
      </w:pPr>
      <w:r>
        <w:rPr>
          <w:sz w:val="36"/>
        </w:rPr>
        <w:tab/>
        <w:t>“</w:t>
      </w:r>
      <w:r>
        <w:rPr>
          <w:sz w:val="36"/>
          <w:u w:val="single"/>
        </w:rPr>
        <w:t>Facility Agreement</w:t>
      </w:r>
      <w:r>
        <w:rPr>
          <w:sz w:val="36"/>
        </w:rPr>
        <w:t>” shall mean the Facility Agreement dated as of November 17, 2000 between the Trust, as the issuer of the Notes, Canadian Imperial Bank of Commerce, as the Agent and the other financial institutions party thereto, as amended from time to time in accordance with its terms.</w:t>
      </w:r>
    </w:p>
    <w:p>
      <w:pPr>
        <w:pStyle w:val="Normal"/>
        <w:bidi w:val="0"/>
        <w:jc w:val="start"/>
        <w:rPr>
          <w:sz w:val="36"/>
        </w:rPr>
      </w:pPr>
      <w:r>
        <w:rPr>
          <w:sz w:val="36"/>
        </w:rPr>
      </w:r>
    </w:p>
    <w:p>
      <w:pPr>
        <w:pStyle w:val="Normal"/>
        <w:bidi w:val="0"/>
        <w:jc w:val="start"/>
        <w:rPr>
          <w:sz w:val="36"/>
        </w:rPr>
      </w:pPr>
      <w:r>
        <w:rPr>
          <w:sz w:val="36"/>
        </w:rPr>
        <w:tab/>
        <w:t>“</w:t>
      </w:r>
      <w:r>
        <w:rPr>
          <w:sz w:val="36"/>
          <w:u w:val="single"/>
        </w:rPr>
        <w:t>Federal Reserve Board</w:t>
      </w:r>
      <w:r>
        <w:rPr>
          <w:sz w:val="36"/>
        </w:rPr>
        <w:t>” shall mean the Board of Governors of the Federal Reserve System, or any federal agency or authority of the United States from time to time succeeding to its functions.</w:t>
      </w:r>
    </w:p>
    <w:p>
      <w:pPr>
        <w:pStyle w:val="Normal"/>
        <w:bidi w:val="0"/>
        <w:jc w:val="start"/>
        <w:rPr>
          <w:sz w:val="36"/>
        </w:rPr>
      </w:pPr>
      <w:r>
        <w:rPr>
          <w:sz w:val="36"/>
        </w:rPr>
      </w:r>
    </w:p>
    <w:p>
      <w:pPr>
        <w:pStyle w:val="Normal"/>
        <w:bidi w:val="0"/>
        <w:jc w:val="start"/>
        <w:rPr>
          <w:sz w:val="36"/>
        </w:rPr>
      </w:pPr>
      <w:r>
        <w:rPr>
          <w:sz w:val="36"/>
        </w:rPr>
        <w:tab/>
        <w:t>“</w:t>
      </w:r>
      <w:r>
        <w:rPr>
          <w:sz w:val="36"/>
          <w:u w:val="single"/>
        </w:rPr>
        <w:t>Final Retirement Date</w:t>
      </w:r>
      <w:r>
        <w:rPr>
          <w:sz w:val="36"/>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Transfer and Auction Agreement have been paid in full, other than (a) amounts remaining unpaid and for which the Trust, the Lenders or the Series Certificate Holder have no recourse to Enron, </w:t>
      </w:r>
      <w:r>
        <w:rPr>
          <w:b/>
          <w:i/>
          <w:sz w:val="36"/>
        </w:rPr>
        <w:t>[the Permitted Swap Party,]</w:t>
      </w:r>
      <w:r>
        <w:rPr>
          <w:sz w:val="36"/>
        </w:rPr>
        <w:t xml:space="preserve"> the Sponsor, Asset LLC or the Transferor under the Operative Documents, and (b) fees, costs and indemnification amounts unasserted at the time the foregoing amounts (other than amounts referred in clause (a) of this definition) have been paid in full.</w:t>
      </w:r>
    </w:p>
    <w:p>
      <w:pPr>
        <w:pStyle w:val="Normal"/>
        <w:bidi w:val="0"/>
        <w:jc w:val="start"/>
        <w:rPr>
          <w:sz w:val="36"/>
        </w:rPr>
      </w:pPr>
      <w:r>
        <w:rPr>
          <w:sz w:val="36"/>
        </w:rPr>
        <w:tab/>
        <w:t>“</w:t>
      </w:r>
      <w:r>
        <w:rPr>
          <w:sz w:val="36"/>
          <w:u w:val="single"/>
        </w:rPr>
        <w:t>GAAP</w:t>
      </w:r>
      <w:r>
        <w:rPr>
          <w:sz w:val="36"/>
        </w:rPr>
        <w:t xml:space="preserve">” shall mean United States generally accepted accounting principles and policies, applied consistently with those applied in the preparation of the audited consolidated financial statements of Enron and its subsidiaries as of December 31, </w:t>
      </w:r>
      <w:r>
        <w:rPr>
          <w:b/>
          <w:i/>
          <w:sz w:val="36"/>
        </w:rPr>
        <w:t>[1999]</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Governmental Authority</w:t>
      </w:r>
      <w:r>
        <w:rPr>
          <w:sz w:val="36"/>
        </w:rPr>
        <w:t xml:space="preserve">” shall mean, with respect to any Person, the country, state, county, city, and political subdivisions that exercise jurisdiction over such Person or such Person’s property; and any court, agency, department, commission, board, bureau, or instrumentality of any of them (including any central bank or monetary or other authority, including any bank regulators, that exercises jurisdiction over any such Person or such Person’s property).    Unless otherwise specified, all references to a Governmental Authority shall refer to a Governmental Authority having jurisdiction over, as applicable, Asset LLC, the Transferor, the Sponsor, Enron, </w:t>
      </w:r>
      <w:r>
        <w:rPr>
          <w:b/>
          <w:i/>
          <w:sz w:val="36"/>
        </w:rPr>
        <w:t>[the Permitted Swap Party]</w:t>
      </w:r>
      <w:r>
        <w:rPr>
          <w:sz w:val="36"/>
        </w:rPr>
        <w:t>, the Trust, each Lender or Series Certificate Holder, or any of their property.    For the purposes of this definition the term “property” shall mean any interest in any kind of property or asset, whether real, personal or mixed, or tangible or intangible.</w:t>
      </w:r>
    </w:p>
    <w:p>
      <w:pPr>
        <w:pStyle w:val="Normal"/>
        <w:bidi w:val="0"/>
        <w:jc w:val="start"/>
        <w:rPr>
          <w:sz w:val="36"/>
        </w:rPr>
      </w:pPr>
      <w:r>
        <w:rPr>
          <w:sz w:val="36"/>
        </w:rPr>
      </w:r>
    </w:p>
    <w:p>
      <w:pPr>
        <w:pStyle w:val="Normal"/>
        <w:bidi w:val="0"/>
        <w:jc w:val="start"/>
        <w:rPr>
          <w:sz w:val="36"/>
        </w:rPr>
      </w:pPr>
      <w:r>
        <w:rPr>
          <w:sz w:val="36"/>
        </w:rPr>
        <w:tab/>
        <w:t>“</w:t>
      </w:r>
      <w:r>
        <w:rPr>
          <w:sz w:val="36"/>
          <w:u w:val="single"/>
        </w:rPr>
        <w:t>Indemnified Party</w:t>
      </w:r>
      <w:r>
        <w:rPr>
          <w:sz w:val="36"/>
        </w:rPr>
        <w:t>”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bidi w:val="0"/>
        <w:jc w:val="start"/>
        <w:rPr>
          <w:sz w:val="36"/>
        </w:rPr>
      </w:pPr>
      <w:r>
        <w:rPr>
          <w:sz w:val="36"/>
        </w:rPr>
      </w:r>
    </w:p>
    <w:p>
      <w:pPr>
        <w:pStyle w:val="Normal"/>
        <w:bidi w:val="0"/>
        <w:jc w:val="start"/>
        <w:rPr>
          <w:sz w:val="36"/>
        </w:rPr>
      </w:pPr>
      <w:r>
        <w:rPr>
          <w:sz w:val="36"/>
        </w:rPr>
        <w:tab/>
        <w:t>“</w:t>
      </w:r>
      <w:r>
        <w:rPr>
          <w:sz w:val="36"/>
          <w:u w:val="single"/>
        </w:rPr>
        <w:t>Investment Company Act</w:t>
      </w:r>
      <w:r>
        <w:rPr>
          <w:sz w:val="36"/>
        </w:rPr>
        <w:t>” shall mean the Investment Company Act of 1940, and the regulations promulgated or issued thereunder from time to time,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Law</w:t>
      </w:r>
      <w:r>
        <w:rPr>
          <w:sz w:val="36"/>
        </w:rPr>
        <w:t>”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bidi w:val="0"/>
        <w:jc w:val="start"/>
        <w:rPr>
          <w:sz w:val="36"/>
        </w:rPr>
      </w:pPr>
      <w:r>
        <w:rPr>
          <w:sz w:val="36"/>
        </w:rPr>
      </w:r>
    </w:p>
    <w:p>
      <w:pPr>
        <w:pStyle w:val="Normal"/>
        <w:bidi w:val="0"/>
        <w:jc w:val="start"/>
        <w:rPr>
          <w:sz w:val="36"/>
        </w:rPr>
      </w:pPr>
      <w:r>
        <w:rPr>
          <w:sz w:val="36"/>
        </w:rPr>
        <w:tab/>
        <w:t>“</w:t>
      </w:r>
      <w:r>
        <w:rPr>
          <w:sz w:val="36"/>
          <w:u w:val="single"/>
        </w:rPr>
        <w:t>Lenders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Lien</w:t>
      </w:r>
      <w:r>
        <w:rPr>
          <w:sz w:val="36"/>
        </w:rPr>
        <w:t>”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Losses</w:t>
      </w:r>
      <w:r>
        <w:rPr>
          <w:sz w:val="36"/>
        </w:rPr>
        <w:t>” shall mean, subject to Section 9.16, all liabilities, losses, damages, judgments, and Costs (including reasonable fees and disbursements of counsel).</w:t>
      </w:r>
    </w:p>
    <w:p>
      <w:pPr>
        <w:pStyle w:val="Normal"/>
        <w:bidi w:val="0"/>
        <w:jc w:val="start"/>
        <w:rPr>
          <w:sz w:val="36"/>
        </w:rPr>
      </w:pPr>
      <w:r>
        <w:rPr>
          <w:sz w:val="36"/>
        </w:rPr>
      </w:r>
    </w:p>
    <w:p>
      <w:pPr>
        <w:pStyle w:val="Normal"/>
        <w:bidi w:val="0"/>
        <w:jc w:val="start"/>
        <w:rPr>
          <w:sz w:val="36"/>
        </w:rPr>
      </w:pPr>
      <w:r>
        <w:rPr>
          <w:sz w:val="36"/>
        </w:rPr>
        <w:tab/>
        <w:t>“</w:t>
      </w:r>
      <w:r>
        <w:rPr>
          <w:sz w:val="36"/>
          <w:u w:val="single"/>
        </w:rPr>
        <w:t>Notes</w:t>
      </w:r>
      <w:r>
        <w:rPr>
          <w:sz w:val="36"/>
        </w:rPr>
        <w:t>” shall mean the Notes issued by the Trust pursuant to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Actions</w:t>
      </w:r>
      <w:r>
        <w:rPr>
          <w:sz w:val="36"/>
        </w:rPr>
        <w:t>” shall have the meaning set forth in Section 8.01(a)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Documents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Opinion of Counsel</w:t>
      </w:r>
      <w:r>
        <w:rPr>
          <w:sz w:val="36"/>
        </w:rPr>
        <w:t>” shall mean a written opinion of counsel, who may be internally employed by Enron, the Trust, the Lenders or the Series Certificate Holder, or any of their respective Affiliates.</w:t>
      </w:r>
    </w:p>
    <w:p>
      <w:pPr>
        <w:pStyle w:val="Normal"/>
        <w:bidi w:val="0"/>
        <w:jc w:val="start"/>
        <w:rPr>
          <w:sz w:val="36"/>
        </w:rPr>
      </w:pPr>
      <w:r>
        <w:rPr>
          <w:sz w:val="36"/>
        </w:rPr>
      </w:r>
    </w:p>
    <w:p>
      <w:pPr>
        <w:pStyle w:val="Normal"/>
        <w:bidi w:val="0"/>
        <w:jc w:val="start"/>
        <w:rPr>
          <w:sz w:val="36"/>
        </w:rPr>
      </w:pPr>
      <w:r>
        <w:rPr>
          <w:sz w:val="36"/>
        </w:rPr>
        <w:tab/>
      </w:r>
      <w:r>
        <w:rPr>
          <w:b/>
          <w:i/>
          <w:sz w:val="36"/>
        </w:rPr>
        <w:t xml:space="preserve">[“Permitted Swap Party” mean [name </w:t>
      </w:r>
      <w:bookmarkStart w:id="5" w:name="Redline_32_4"/>
      <w:bookmarkEnd w:id="5"/>
      <w:ins w:id="14" w:author="">
        <w:r>
          <w:rPr>
            <w:b/>
            <w:i/>
            <w:sz w:val="36"/>
            <w:u w:val="double"/>
          </w:rPr>
          <w:t>of Sponsor]</w:t>
        </w:r>
      </w:ins>
      <w:bookmarkStart w:id="6" w:name="Redline_32_12"/>
      <w:bookmarkEnd w:id="6"/>
      <w:ins w:id="15" w:author="">
        <w:r>
          <w:rPr>
            <w:b/>
            <w:i/>
            <w:strike/>
            <w:sz w:val="36"/>
          </w:rPr>
          <w:t>]</w:t>
        </w:r>
      </w:ins>
      <w:r>
        <w:rPr>
          <w:b/>
          <w:i/>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Person</w:t>
      </w:r>
      <w:r>
        <w:rPr>
          <w:sz w:val="36"/>
        </w:rPr>
        <w:t>”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Proceeds</w:t>
      </w:r>
      <w:r>
        <w:rPr>
          <w:sz w:val="36"/>
        </w:rPr>
        <w:t xml:space="preserve">” shall mean the amount received by the Trust as the result of any Transfer. </w:t>
      </w:r>
    </w:p>
    <w:p>
      <w:pPr>
        <w:pStyle w:val="Normal"/>
        <w:bidi w:val="0"/>
        <w:jc w:val="start"/>
        <w:rPr>
          <w:sz w:val="36"/>
        </w:rPr>
      </w:pPr>
      <w:r>
        <w:rPr>
          <w:sz w:val="36"/>
        </w:rPr>
      </w:r>
    </w:p>
    <w:p>
      <w:pPr>
        <w:pStyle w:val="Normal"/>
        <w:bidi w:val="0"/>
        <w:jc w:val="start"/>
        <w:rPr>
          <w:sz w:val="36"/>
        </w:rPr>
      </w:pPr>
      <w:r>
        <w:rPr>
          <w:sz w:val="36"/>
        </w:rPr>
        <w:tab/>
        <w:t>“</w:t>
      </w:r>
      <w:r>
        <w:rPr>
          <w:sz w:val="36"/>
          <w:u w:val="single"/>
        </w:rPr>
        <w:t>PUHCA</w:t>
      </w:r>
      <w:r>
        <w:rPr>
          <w:sz w:val="36"/>
        </w:rPr>
        <w:t>” shall mean the Public Utility Holding Company Act of 1935, as amended, and the regulations promulgated or issued from time to time thereunder.</w:t>
      </w:r>
    </w:p>
    <w:p>
      <w:pPr>
        <w:pStyle w:val="Normal"/>
        <w:bidi w:val="0"/>
        <w:jc w:val="start"/>
        <w:rPr>
          <w:sz w:val="36"/>
        </w:rPr>
      </w:pPr>
      <w:r>
        <w:rPr>
          <w:sz w:val="36"/>
        </w:rPr>
      </w:r>
    </w:p>
    <w:p>
      <w:pPr>
        <w:pStyle w:val="Normal"/>
        <w:bidi w:val="0"/>
        <w:jc w:val="start"/>
        <w:rPr>
          <w:sz w:val="36"/>
        </w:rPr>
      </w:pPr>
      <w:r>
        <w:rPr>
          <w:sz w:val="36"/>
        </w:rPr>
        <w:tab/>
        <w:t>“</w:t>
      </w:r>
      <w:r>
        <w:rPr>
          <w:sz w:val="36"/>
          <w:u w:val="single"/>
        </w:rPr>
        <w:t>Responsible Officer</w:t>
      </w:r>
      <w:r>
        <w:rPr>
          <w:sz w:val="36"/>
        </w:rPr>
        <w:t>” shall mean, as to any Person, the President, or any Senior Vice President or Vice President of such Person and as to the Trust, any Assistant Vice President, or Assistant Secretary of the Trustee.</w:t>
      </w:r>
    </w:p>
    <w:p>
      <w:pPr>
        <w:pStyle w:val="Normal"/>
        <w:bidi w:val="0"/>
        <w:jc w:val="start"/>
        <w:rPr>
          <w:sz w:val="36"/>
        </w:rPr>
      </w:pPr>
      <w:r>
        <w:rPr>
          <w:sz w:val="36"/>
        </w:rPr>
      </w:r>
    </w:p>
    <w:p>
      <w:pPr>
        <w:pStyle w:val="Normal"/>
        <w:bidi w:val="0"/>
        <w:jc w:val="start"/>
        <w:rPr>
          <w:sz w:val="36"/>
          <w:u w:val="single"/>
        </w:rPr>
      </w:pPr>
      <w:r>
        <w:rPr>
          <w:sz w:val="36"/>
        </w:rPr>
        <w:tab/>
        <w:t>“</w:t>
      </w:r>
      <w:r>
        <w:rPr>
          <w:sz w:val="36"/>
          <w:u w:val="single"/>
        </w:rPr>
        <w:t>Series</w:t>
      </w:r>
      <w:r>
        <w:rPr>
          <w:sz w:val="36"/>
        </w:rPr>
        <w:t xml:space="preserve">” shall mean Series </w:t>
      </w:r>
      <w:r>
        <w:rPr>
          <w:b/>
          <w:i/>
          <w:sz w:val="36"/>
        </w:rPr>
        <w:t>[name]</w:t>
      </w:r>
      <w:r>
        <w:rPr>
          <w:sz w:val="36"/>
        </w:rPr>
        <w:t xml:space="preserve"> of the Trust, created pursuant to a series supplement dated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w:t>
      </w:r>
      <w:r>
        <w:rPr>
          <w:sz w:val="36"/>
        </w:rPr>
        <w:t>” shall mean the Series Certificate (as defined in the Trust Agreement) issued by the Trust on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 Holder</w:t>
      </w:r>
      <w:r>
        <w:rPr>
          <w:sz w:val="36"/>
        </w:rPr>
        <w:t>” shall mean any holder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Property</w:t>
      </w:r>
      <w:r>
        <w:rPr>
          <w:sz w:val="36"/>
        </w:rPr>
        <w:t>” shall have the meaning set forth in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Tranche</w:t>
      </w:r>
      <w:r>
        <w:rPr>
          <w:sz w:val="36"/>
        </w:rPr>
        <w:t>”      shall mean the Tranche (as defined in the Facility Agreement) drawn down on the date hereof with respect to the Series.</w:t>
      </w:r>
    </w:p>
    <w:p>
      <w:pPr>
        <w:pStyle w:val="Normal"/>
        <w:bidi w:val="0"/>
        <w:jc w:val="start"/>
        <w:rPr>
          <w:sz w:val="36"/>
        </w:rPr>
      </w:pPr>
      <w:r>
        <w:rPr>
          <w:sz w:val="36"/>
        </w:rPr>
      </w:r>
    </w:p>
    <w:p>
      <w:pPr>
        <w:pStyle w:val="Normal"/>
        <w:bidi w:val="0"/>
        <w:jc w:val="start"/>
        <w:rPr>
          <w:sz w:val="36"/>
        </w:rPr>
      </w:pPr>
      <w:r>
        <w:rPr>
          <w:sz w:val="36"/>
        </w:rPr>
        <w:tab/>
        <w:t>“</w:t>
      </w:r>
      <w:r>
        <w:rPr>
          <w:sz w:val="36"/>
          <w:u w:val="single"/>
        </w:rPr>
        <w:t>Sponsor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Subscriber</w:t>
      </w:r>
      <w:r>
        <w:rPr>
          <w:sz w:val="36"/>
        </w:rPr>
        <w:t xml:space="preserve">” shall mean </w:t>
      </w:r>
      <w:r>
        <w:rPr>
          <w:b/>
          <w:i/>
          <w:sz w:val="36"/>
        </w:rPr>
        <w:t>[Name]</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Subsidiary</w:t>
      </w:r>
      <w:r>
        <w:rPr>
          <w:sz w:val="36"/>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sz w:val="36"/>
          <w:u w:val="single"/>
        </w:rPr>
        <w:t>provided</w:t>
      </w:r>
      <w:r>
        <w:rPr>
          <w:sz w:val="36"/>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bidi w:val="0"/>
        <w:jc w:val="start"/>
        <w:rPr>
          <w:sz w:val="36"/>
        </w:rPr>
      </w:pPr>
      <w:r>
        <w:rPr>
          <w:sz w:val="36"/>
        </w:rPr>
      </w:r>
    </w:p>
    <w:p>
      <w:pPr>
        <w:pStyle w:val="Normal"/>
        <w:bidi w:val="0"/>
        <w:jc w:val="start"/>
        <w:rPr>
          <w:sz w:val="36"/>
        </w:rPr>
      </w:pPr>
      <w:r>
        <w:rPr>
          <w:sz w:val="36"/>
        </w:rPr>
        <w:tab/>
        <w:t>“</w:t>
      </w:r>
      <w:r>
        <w:rPr>
          <w:sz w:val="36"/>
          <w:u w:val="single"/>
        </w:rPr>
        <w:t>Tax</w:t>
      </w:r>
      <w:r>
        <w:rPr>
          <w:sz w:val="36"/>
        </w:rPr>
        <w:t>” or “</w:t>
      </w:r>
      <w:r>
        <w:rPr>
          <w:sz w:val="36"/>
          <w:u w:val="single"/>
        </w:rPr>
        <w:t>Taxes</w:t>
      </w:r>
      <w:r>
        <w:rPr>
          <w:sz w:val="36"/>
        </w:rPr>
        <w:t>”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bidi w:val="0"/>
        <w:jc w:val="start"/>
        <w:rPr>
          <w:sz w:val="36"/>
        </w:rPr>
      </w:pPr>
      <w:r>
        <w:rPr>
          <w:sz w:val="36"/>
        </w:rPr>
      </w:r>
    </w:p>
    <w:p>
      <w:pPr>
        <w:pStyle w:val="Normal"/>
        <w:bidi w:val="0"/>
        <w:jc w:val="start"/>
        <w:rPr>
          <w:sz w:val="36"/>
        </w:rPr>
      </w:pPr>
      <w:r>
        <w:rPr>
          <w:sz w:val="36"/>
        </w:rPr>
        <w:tab/>
        <w:t>“</w:t>
      </w:r>
      <w:r>
        <w:rPr>
          <w:sz w:val="36"/>
          <w:u w:val="single"/>
        </w:rPr>
        <w:t>Total Return Swap Confirmation</w:t>
      </w:r>
      <w:r>
        <w:rPr>
          <w:sz w:val="36"/>
        </w:rPr>
        <w:t xml:space="preserve">” shall mean the Confirmation (as defined in the Facility Agreement) dated as of the date hereof, and executed by the Trust and </w:t>
      </w:r>
      <w:r>
        <w:rPr>
          <w:b/>
          <w:i/>
          <w:sz w:val="36"/>
        </w:rPr>
        <w:t>[Enron] [the Permitted Swap Party]</w:t>
      </w:r>
      <w:r>
        <w:rPr>
          <w:sz w:val="36"/>
        </w:rPr>
        <w:t xml:space="preserve"> with respect to the Series Tranche.</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w:t>
      </w:r>
      <w:r>
        <w:rPr>
          <w:sz w:val="36"/>
        </w:rPr>
        <w:t>” shall mean any sale, transfer, distribution, or other disposition of all of the Asset LLC Interest by the Trust to any Person.</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and Auction Agreement</w:t>
      </w:r>
      <w:r>
        <w:rPr>
          <w:sz w:val="36"/>
        </w:rPr>
        <w:t>” shall mean this Transfer and    Auction Agreement dated as of the date hereof executed by the Transferor, the Sponsor and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Price</w:t>
      </w:r>
      <w:r>
        <w:rPr>
          <w:sz w:val="36"/>
        </w:rPr>
        <w:t xml:space="preserve">” shall mean </w:t>
      </w:r>
      <w:r>
        <w:rPr>
          <w:b/>
          <w:i/>
          <w:sz w:val="36"/>
        </w:rPr>
        <w:t>[Amount]</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Transferor Constitutional Document</w:t>
      </w:r>
      <w:r>
        <w:rPr>
          <w:sz w:val="36"/>
        </w:rPr>
        <w:t>” shall have the meaning set forth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w:t>
      </w:r>
      <w:r>
        <w:rPr>
          <w:sz w:val="36"/>
        </w:rPr>
        <w:t>” shall mean Hawaii II 125-0 Trust, the Delaware business trust created pursuant to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 Agreement</w:t>
      </w:r>
      <w:r>
        <w:rPr>
          <w:sz w:val="36"/>
        </w:rPr>
        <w:t>” shall mean the Second Amended and Restated Trust Agreement governing the Trust dated as of November 17, 2000, executed by the Trustee, as such agreement is amended from time to time in accordance with its terms.</w:t>
      </w:r>
    </w:p>
    <w:p>
      <w:pPr>
        <w:pStyle w:val="Normal"/>
        <w:bidi w:val="0"/>
        <w:jc w:val="start"/>
        <w:rPr>
          <w:sz w:val="36"/>
        </w:rPr>
      </w:pPr>
      <w:r>
        <w:rPr>
          <w:sz w:val="36"/>
        </w:rPr>
      </w:r>
    </w:p>
    <w:p>
      <w:pPr>
        <w:pStyle w:val="Normal"/>
        <w:bidi w:val="0"/>
        <w:jc w:val="start"/>
        <w:rPr>
          <w:sz w:val="36"/>
        </w:rPr>
      </w:pPr>
      <w:r>
        <w:rPr>
          <w:sz w:val="36"/>
        </w:rPr>
        <w:tab/>
        <w:t>“</w:t>
      </w:r>
      <w:r>
        <w:rPr>
          <w:sz w:val="36"/>
          <w:u w:val="single"/>
        </w:rPr>
        <w:t>Trust Institution</w:t>
      </w:r>
      <w:r>
        <w:rPr>
          <w:sz w:val="36"/>
        </w:rPr>
        <w:t>” shall mean Wilmington Trust Company.</w:t>
      </w:r>
    </w:p>
    <w:p>
      <w:pPr>
        <w:pStyle w:val="Normal"/>
        <w:bidi w:val="0"/>
        <w:jc w:val="start"/>
        <w:rPr>
          <w:sz w:val="36"/>
        </w:rPr>
      </w:pPr>
      <w:r>
        <w:rPr>
          <w:sz w:val="36"/>
        </w:rPr>
      </w:r>
    </w:p>
    <w:p>
      <w:pPr>
        <w:pStyle w:val="Normal"/>
        <w:bidi w:val="0"/>
        <w:jc w:val="start"/>
        <w:rPr>
          <w:sz w:val="36"/>
        </w:rPr>
      </w:pPr>
      <w:r>
        <w:rPr>
          <w:sz w:val="36"/>
        </w:rPr>
        <w:tab/>
        <w:t>“</w:t>
      </w:r>
      <w:r>
        <w:rPr>
          <w:sz w:val="36"/>
          <w:u w:val="single"/>
        </w:rPr>
        <w:t>Trustee</w:t>
      </w:r>
      <w:r>
        <w:rPr>
          <w:sz w:val="36"/>
        </w:rPr>
        <w:t>” shall mean Wilmington Trust Company, in its capacity as owner trustee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Trust’s Counsel</w:t>
      </w:r>
      <w:r>
        <w:rPr>
          <w:sz w:val="36"/>
        </w:rPr>
        <w:t>” shall mean Richards, Layton &amp; Finger, special counsel to the Trust, or such other special counsel to the Trust that is satisfactory to the Transferor, the Lenders and the Series Certificate Holder (in their reasonable discretion).</w:t>
      </w:r>
    </w:p>
    <w:p>
      <w:pPr>
        <w:pStyle w:val="Normal"/>
        <w:bidi w:val="0"/>
        <w:jc w:val="start"/>
        <w:rPr>
          <w:sz w:val="36"/>
        </w:rPr>
      </w:pPr>
      <w:r>
        <w:rPr>
          <w:sz w:val="36"/>
        </w:rPr>
      </w:r>
    </w:p>
    <w:p>
      <w:pPr>
        <w:pStyle w:val="Normal"/>
        <w:bidi w:val="0"/>
        <w:jc w:val="start"/>
        <w:rPr>
          <w:sz w:val="36"/>
        </w:rPr>
      </w:pPr>
      <w:r>
        <w:rPr>
          <w:sz w:val="36"/>
        </w:rPr>
        <w:tab/>
        <w:t>“</w:t>
      </w:r>
      <w:r>
        <w:rPr>
          <w:sz w:val="36"/>
          <w:u w:val="single"/>
        </w:rPr>
        <w:t>U.S. Dollars</w:t>
      </w:r>
      <w:r>
        <w:rPr>
          <w:sz w:val="36"/>
        </w:rPr>
        <w:t xml:space="preserve">” shall mean the lawful currency of the United States. </w:t>
      </w:r>
    </w:p>
    <w:p>
      <w:pPr>
        <w:pStyle w:val="Normal"/>
        <w:bidi w:val="0"/>
        <w:jc w:val="start"/>
        <w:rPr>
          <w:sz w:val="36"/>
        </w:rPr>
      </w:pPr>
      <w:r>
        <w:rPr>
          <w:sz w:val="36"/>
        </w:rPr>
      </w:r>
    </w:p>
    <w:p>
      <w:pPr>
        <w:pStyle w:val="Normal"/>
        <w:bidi w:val="0"/>
        <w:jc w:val="start"/>
        <w:rPr>
          <w:sz w:val="36"/>
        </w:rPr>
      </w:pPr>
      <w:r>
        <w:rPr>
          <w:sz w:val="36"/>
        </w:rPr>
        <w:tab/>
        <w:t>“</w:t>
      </w:r>
      <w:r>
        <w:rPr>
          <w:sz w:val="36"/>
          <w:u w:val="single"/>
        </w:rPr>
        <w:t>U. S. Person</w:t>
      </w:r>
      <w:r>
        <w:rPr>
          <w:sz w:val="36"/>
        </w:rPr>
        <w:t>”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Winning Bidder</w:t>
      </w:r>
      <w:r>
        <w:rPr>
          <w:sz w:val="36"/>
        </w:rPr>
        <w:t>” shall have the meaning assigned to that term in the Asset LLC Agreement.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IICONVEYANCE"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2.01</w:instrText>
        <w:tab/>
        <w:instrText xml:space="preserve">Transfer of Asset LLC Interest " \l 1 </w:instrText>
      </w:r>
      <w:r>
        <w:rPr>
          <w:sz w:val="36"/>
        </w:rPr>
        <w:fldChar w:fldCharType="separate"/>
      </w:r>
      <w:r>
        <w:rPr>
          <w:sz w:val="36"/>
        </w:rPr>
      </w:r>
      <w:r>
        <w:rPr>
          <w:sz w:val="36"/>
        </w:rPr>
        <w:fldChar w:fldCharType="end"/>
      </w:r>
      <w:r>
        <w:rPr>
          <w:sz w:val="36"/>
        </w:rPr>
        <w:t>.    Subject to payment of the Transfer Price by the Trust pursuant to Section 3.02(a), the Transferor hereby assigns, sets-over, transfers, and conveys to the Trust, free and clear of any Liens, and the Trust hereby acquires and accepts from the Transferor,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IIICONDITIONS PRECEDENT"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3.01</w:instrText>
        <w:tab/>
        <w:instrText xml:space="preserve">Conditions Precedent to Closing " \l 1 </w:instrText>
      </w:r>
      <w:r>
        <w:rPr>
          <w:sz w:val="36"/>
        </w:rPr>
        <w:fldChar w:fldCharType="separate"/>
      </w:r>
      <w:r>
        <w:rPr>
          <w:sz w:val="36"/>
        </w:rPr>
      </w:r>
      <w:r>
        <w:rPr>
          <w:sz w:val="36"/>
        </w:rPr>
        <w:fldChar w:fldCharType="end"/>
      </w:r>
      <w:r>
        <w:rPr>
          <w:sz w:val="36"/>
        </w:rPr>
        <w:t>.    The obligation of the Trust to pay the Transfer Price to the Transferor is subject to the satisfaction of the following conditions precedent: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Due Authorization, Execution, and Delivery</w:t>
      </w:r>
      <w:r>
        <w:rPr>
          <w:sz w:val="36"/>
        </w:rPr>
        <w:t>.    The Operative Documents shall be in form and substance satisfactory to the Trust and shall have been duly authorized, executed, and delivered by all parties thereto and shall be in full force and effect.</w:t>
      </w:r>
    </w:p>
    <w:p>
      <w:pPr>
        <w:pStyle w:val="Normal"/>
        <w:keepNext w:val="true"/>
        <w:keepLines/>
        <w:bidi w:val="0"/>
        <w:jc w:val="center"/>
        <w:rPr>
          <w:sz w:val="36"/>
        </w:rPr>
      </w:pPr>
      <w:r>
        <w:rPr>
          <w:sz w:val="36"/>
        </w:rPr>
        <w:tab/>
        <w:t xml:space="preserve">(b) </w:t>
        <w:tab/>
      </w:r>
      <w:r>
        <w:rPr>
          <w:sz w:val="36"/>
          <w:u w:val="single"/>
        </w:rPr>
        <w:t>Opinions</w:t>
      </w:r>
      <w:r>
        <w:rPr>
          <w:sz w:val="36"/>
        </w:rPr>
        <w:t>.    The following opinions, dated the Closing Date, in form and substance satisfactory to the Trust and addressed to the parties indicated below, shall have been delivered:</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 xml:space="preserve">An opinion of Andrews &amp; Kurth L.L.P., special counsel to Asset LLC, the Sponsor and Enron, </w:t>
      </w:r>
      <w:r>
        <w:rPr>
          <w:b/>
          <w:i/>
          <w:sz w:val="36"/>
        </w:rPr>
        <w:t>[the Permitted Swap Party,]</w:t>
      </w:r>
      <w:r>
        <w:rPr>
          <w:sz w:val="36"/>
        </w:rPr>
        <w:t xml:space="preserve"> addressed to, and intended to be relied upon by, the Lenders, the Series Certificate Holder and the Trust, which opinion shall address, among other things, (A) the enforceability of this Transfer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bidi w:val="0"/>
        <w:jc w:val="start"/>
        <w:rPr>
          <w:sz w:val="36"/>
        </w:rPr>
      </w:pPr>
      <w:r>
        <w:rPr>
          <w:sz w:val="36"/>
        </w:rPr>
      </w:r>
    </w:p>
    <w:p>
      <w:pPr>
        <w:pStyle w:val="Normal"/>
        <w:bidi w:val="0"/>
        <w:ind w:hanging="0" w:start="720"/>
        <w:jc w:val="start"/>
        <w:rPr>
          <w:sz w:val="36"/>
        </w:rPr>
      </w:pPr>
      <w:r>
        <w:rPr>
          <w:sz w:val="36"/>
        </w:rPr>
        <w:t>(ii)</w:t>
        <w:tab/>
        <w:t xml:space="preserve">Opinions of the respective General Counsels of Enron, </w:t>
      </w:r>
      <w:r>
        <w:rPr>
          <w:b/>
          <w:i/>
          <w:sz w:val="36"/>
        </w:rPr>
        <w:t>[the Permitted Swap Party]</w:t>
      </w:r>
      <w:r>
        <w:rPr>
          <w:sz w:val="36"/>
        </w:rPr>
        <w:t xml:space="preserve"> and the Sponsor, addressed to, and intended to be relied upon by, the Lenders,    the Series Certificate Holder and the Trust, which opinions shall address, among other things, the due authorization, execution and delivery by Enron </w:t>
      </w:r>
      <w:bookmarkStart w:id="7" w:name="Redline_32_5"/>
      <w:bookmarkEnd w:id="7"/>
      <w:ins w:id="16" w:author="">
        <w:r>
          <w:rPr>
            <w:b/>
            <w:i/>
            <w:sz w:val="36"/>
            <w:u w:val="double"/>
          </w:rPr>
          <w:t>[,the Permitted Swap Party]</w:t>
        </w:r>
      </w:ins>
      <w:r>
        <w:rPr>
          <w:sz w:val="36"/>
        </w:rPr>
        <w:t xml:space="preserve"> and the Sponsor (as applicable) of each of the Operative Documents to which either is a party.</w:t>
      </w:r>
    </w:p>
    <w:p>
      <w:pPr>
        <w:pStyle w:val="Normal"/>
        <w:bidi w:val="0"/>
        <w:jc w:val="start"/>
        <w:rPr>
          <w:sz w:val="36"/>
        </w:rPr>
      </w:pPr>
      <w:r>
        <w:rPr>
          <w:sz w:val="36"/>
        </w:rPr>
      </w:r>
    </w:p>
    <w:p>
      <w:pPr>
        <w:pStyle w:val="Normal"/>
        <w:bidi w:val="0"/>
        <w:ind w:hanging="0" w:start="720"/>
        <w:jc w:val="start"/>
        <w:rPr>
          <w:sz w:val="36"/>
        </w:rPr>
      </w:pPr>
      <w:r>
        <w:rPr>
          <w:sz w:val="36"/>
        </w:rPr>
        <w:t>(iii)</w:t>
        <w:tab/>
        <w:t xml:space="preserve">An opinion of the Trust’s counsel, addressed to, and intended to be relied upon by, the Lenders, the Series Certificate Holder, Asset LLC, the Transferor, </w:t>
      </w:r>
      <w:r>
        <w:rPr>
          <w:b/>
          <w:i/>
          <w:sz w:val="36"/>
        </w:rPr>
        <w:t>[the Permitted Swap Party]</w:t>
      </w:r>
      <w:r>
        <w:rPr>
          <w:sz w:val="36"/>
        </w:rPr>
        <w:t>,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bidi w:val="0"/>
        <w:jc w:val="start"/>
        <w:rPr>
          <w:sz w:val="36"/>
        </w:rPr>
      </w:pPr>
      <w:r>
        <w:rPr>
          <w:sz w:val="36"/>
        </w:rPr>
      </w:r>
    </w:p>
    <w:p>
      <w:pPr>
        <w:pStyle w:val="Normal"/>
        <w:bidi w:val="0"/>
        <w:ind w:hanging="0" w:start="720"/>
        <w:jc w:val="start"/>
        <w:rPr>
          <w:sz w:val="36"/>
        </w:rPr>
      </w:pPr>
      <w:r>
        <w:rPr>
          <w:sz w:val="36"/>
        </w:rPr>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Transfer and Auction Agreement against the Transferor, (B) the due authorization, execution and delivery by the Transferor of each of the Operative Documents to which such entity is a party, and (C) the due formation and valid existence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r>
      <w:bookmarkStart w:id="8" w:name="Redline_32_13"/>
      <w:bookmarkEnd w:id="8"/>
      <w:ins w:id="17" w:author="">
        <w:r>
          <w:rPr>
            <w:strike/>
            <w:sz w:val="36"/>
          </w:rPr>
          <w:t>(d)</w:t>
        </w:r>
      </w:ins>
      <w:ins w:id="18" w:author="">
        <w:r>
          <w:rPr>
            <w:b/>
            <w:sz w:val="36"/>
            <w:u w:val="double"/>
          </w:rPr>
          <w:t>(c)</w:t>
        </w:r>
      </w:ins>
      <w:r>
        <w:rPr>
          <w:sz w:val="36"/>
        </w:rPr>
        <w:tab/>
      </w:r>
      <w:r>
        <w:rPr>
          <w:sz w:val="36"/>
          <w:u w:val="single"/>
        </w:rPr>
        <w:t>Corporate Documents; Proceedings</w:t>
      </w:r>
      <w:r>
        <w:rPr>
          <w:sz w:val="36"/>
        </w:rPr>
        <w:t xml:space="preserve">.    The Trust shall have received the following in form and substance satisfactory to the Trust: </w:t>
      </w:r>
    </w:p>
    <w:p>
      <w:pPr>
        <w:pStyle w:val="Normal"/>
        <w:keepNext w:val="true"/>
        <w:bidi w:val="0"/>
        <w:jc w:val="start"/>
        <w:rPr>
          <w:sz w:val="36"/>
        </w:rPr>
      </w:pPr>
      <w:r>
        <w:rPr>
          <w:sz w:val="36"/>
        </w:rPr>
      </w:r>
    </w:p>
    <w:p>
      <w:pPr>
        <w:pStyle w:val="Normal"/>
        <w:bidi w:val="0"/>
        <w:ind w:hanging="0" w:start="720"/>
        <w:jc w:val="start"/>
        <w:rPr>
          <w:sz w:val="36"/>
        </w:rPr>
      </w:pPr>
      <w:r>
        <w:rPr>
          <w:sz w:val="36"/>
        </w:rPr>
        <w:t>(i)</w:t>
        <w:tab/>
        <w:t>A certificate or certificates of the Secretary or an Assistant Secretary of each of the Sponsor</w:t>
      </w:r>
      <w:r>
        <w:rPr>
          <w:b/>
          <w:i/>
          <w:sz w:val="36"/>
        </w:rPr>
        <w:t>[, the Permitted Swap Provider,]</w:t>
      </w:r>
      <w:r>
        <w:rPr>
          <w:sz w:val="36"/>
        </w:rPr>
        <w:t>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bidi w:val="0"/>
        <w:jc w:val="start"/>
        <w:rPr>
          <w:sz w:val="36"/>
        </w:rPr>
      </w:pPr>
      <w:r>
        <w:rPr>
          <w:sz w:val="36"/>
        </w:rPr>
      </w:r>
    </w:p>
    <w:p>
      <w:pPr>
        <w:pStyle w:val="Normal"/>
        <w:bidi w:val="0"/>
        <w:ind w:hanging="0" w:start="720"/>
        <w:jc w:val="start"/>
        <w:rPr>
          <w:sz w:val="36"/>
        </w:rPr>
      </w:pPr>
      <w:r>
        <w:rPr>
          <w:sz w:val="36"/>
        </w:rPr>
        <w:tab/>
        <w:t>(ii)</w:t>
        <w:tab/>
        <w:t>Certificates of the appropriate Governmental Authorities with respect to the existence, qualification, and good standing of the Sponsor, Asset LLC, the Transferor and Enron.</w:t>
      </w:r>
    </w:p>
    <w:p>
      <w:pPr>
        <w:pStyle w:val="Normal"/>
        <w:bidi w:val="0"/>
        <w:jc w:val="start"/>
        <w:rPr>
          <w:sz w:val="36"/>
        </w:rPr>
      </w:pPr>
      <w:r>
        <w:rPr>
          <w:sz w:val="36"/>
        </w:rPr>
      </w:r>
    </w:p>
    <w:p>
      <w:pPr>
        <w:pStyle w:val="Normal"/>
        <w:bidi w:val="0"/>
        <w:jc w:val="start"/>
        <w:rPr>
          <w:sz w:val="36"/>
        </w:rPr>
      </w:pPr>
      <w:r>
        <w:rPr>
          <w:sz w:val="36"/>
        </w:rPr>
        <w:tab/>
      </w:r>
      <w:bookmarkStart w:id="9" w:name="Redline_32_14"/>
      <w:bookmarkEnd w:id="9"/>
      <w:ins w:id="19" w:author="">
        <w:r>
          <w:rPr>
            <w:strike/>
            <w:sz w:val="36"/>
          </w:rPr>
          <w:t>(e)</w:t>
        </w:r>
      </w:ins>
      <w:bookmarkStart w:id="10" w:name="Redline_32_6"/>
      <w:bookmarkEnd w:id="10"/>
      <w:ins w:id="20" w:author="">
        <w:r>
          <w:rPr>
            <w:b/>
            <w:sz w:val="36"/>
            <w:u w:val="double"/>
          </w:rPr>
          <w:t>(d)</w:t>
        </w:r>
      </w:ins>
      <w:r>
        <w:rPr>
          <w:sz w:val="36"/>
        </w:rPr>
        <w:tab/>
      </w:r>
      <w:r>
        <w:rPr>
          <w:sz w:val="36"/>
          <w:u w:val="single"/>
        </w:rPr>
        <w:t>Additional Conditions</w:t>
      </w:r>
      <w:r>
        <w:rPr>
          <w:sz w:val="36"/>
        </w:rPr>
        <w:t>.    The representations and warranties of each of Asset LLC, the Transferor, the Sponsor</w:t>
      </w:r>
      <w:r>
        <w:rPr>
          <w:b/>
          <w:i/>
          <w:sz w:val="36"/>
        </w:rPr>
        <w:t>, [the Permitted Swap Party,]</w:t>
      </w:r>
      <w:r>
        <w:rPr>
          <w:sz w:val="36"/>
        </w:rPr>
        <w:t xml:space="preserve"> and Enron set forth in the Operative Documents shall be true and correct as of the Closing Date, and none of Asset LLC, the Transferor, the Sponsor</w:t>
      </w:r>
      <w:r>
        <w:rPr>
          <w:b/>
          <w:i/>
          <w:sz w:val="36"/>
        </w:rPr>
        <w:t>, [the Permitted Swap Party,]</w:t>
      </w:r>
      <w:r>
        <w:rPr>
          <w:sz w:val="36"/>
        </w:rPr>
        <w:t xml:space="preserve"> or Enron shall have defaulted in the performance of its obligations under any Operative Document, which default shall be continuing as of the Closing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3.02</w:instrText>
        <w:tab/>
        <w:instrText xml:space="preserve">Transfer Price Payment " \l 1 </w:instrText>
      </w:r>
      <w:r>
        <w:rPr>
          <w:sz w:val="36"/>
        </w:rPr>
        <w:fldChar w:fldCharType="separate"/>
      </w:r>
      <w:r>
        <w:rPr>
          <w:sz w:val="36"/>
        </w:rPr>
      </w:r>
      <w:r>
        <w:rPr>
          <w:sz w:val="36"/>
        </w:rPr>
        <w:fldChar w:fldCharType="end"/>
      </w:r>
      <w:r>
        <w:rPr>
          <w:sz w:val="36"/>
        </w:rPr>
        <w:t xml:space="preserve">.    </w:t>
      </w:r>
    </w:p>
    <w:p>
      <w:pPr>
        <w:pStyle w:val="Normal"/>
        <w:bidi w:val="0"/>
        <w:jc w:val="start"/>
        <w:rPr>
          <w:sz w:val="36"/>
        </w:rPr>
      </w:pPr>
      <w:r>
        <w:rPr>
          <w:sz w:val="36"/>
        </w:rPr>
      </w:r>
    </w:p>
    <w:p>
      <w:pPr>
        <w:pStyle w:val="Normal"/>
        <w:bidi w:val="0"/>
        <w:jc w:val="start"/>
        <w:rPr>
          <w:sz w:val="36"/>
        </w:rPr>
      </w:pPr>
      <w:r>
        <w:rPr>
          <w:sz w:val="36"/>
        </w:rPr>
        <w:tab/>
        <w:t>(a)</w:t>
        <w:tab/>
        <w:t>Upon satisfaction of the conditions precedent set forth in Section 3.01 the Trust shall pay the Transfer Price to the Transferor in accordance with Schedule I hereto.</w:t>
      </w:r>
    </w:p>
    <w:p>
      <w:pPr>
        <w:pStyle w:val="Normal"/>
        <w:bidi w:val="0"/>
        <w:jc w:val="start"/>
        <w:rPr>
          <w:sz w:val="36"/>
        </w:rPr>
      </w:pPr>
      <w:r>
        <w:rPr>
          <w:sz w:val="36"/>
        </w:rPr>
      </w:r>
    </w:p>
    <w:p>
      <w:pPr>
        <w:pStyle w:val="Normal"/>
        <w:bidi w:val="0"/>
        <w:jc w:val="start"/>
        <w:rPr>
          <w:sz w:val="36"/>
        </w:rPr>
      </w:pPr>
      <w:r>
        <w:rPr>
          <w:sz w:val="36"/>
        </w:rPr>
        <w:tab/>
        <w:t>(b)</w:t>
        <w:tab/>
      </w:r>
      <w:r>
        <w:rPr>
          <w:b/>
          <w:i/>
          <w:sz w:val="36"/>
        </w:rPr>
        <w:t>[If applicable]</w:t>
      </w:r>
      <w:r>
        <w:rPr>
          <w:sz w:val="36"/>
        </w:rPr>
        <w:t xml:space="preserve"> Upon receipt of the Transfer Price in accordance with Section 3.02(a), the Transferor shall pay to Asset LLC the outstanding principal amount of the Asset LLC Note.</w:t>
      </w:r>
    </w:p>
    <w:p>
      <w:pPr>
        <w:pStyle w:val="Normal"/>
        <w:bidi w:val="0"/>
        <w:jc w:val="start"/>
        <w:rPr>
          <w:sz w:val="36"/>
        </w:rPr>
      </w:pPr>
      <w:r>
        <w:rPr>
          <w:sz w:val="36"/>
        </w:rPr>
      </w:r>
    </w:p>
    <w:p>
      <w:pPr>
        <w:pStyle w:val="Normal"/>
        <w:bidi w:val="0"/>
        <w:jc w:val="start"/>
        <w:rPr>
          <w:sz w:val="36"/>
        </w:rPr>
      </w:pPr>
      <w:r>
        <w:rPr>
          <w:sz w:val="36"/>
        </w:rPr>
        <w:tab/>
        <w:t>(c)</w:t>
        <w:tab/>
        <w:t>It is acknowledged by the Transferor that the Transfer Price represents fair and reasonably equivalent consideration for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IVAUCTION" \l 1 </w:instrText>
      </w:r>
      <w:r>
        <w:rPr/>
        <w:fldChar w:fldCharType="separate"/>
      </w:r>
      <w:r>
        <w:rPr/>
      </w:r>
      <w:r>
        <w:rPr/>
        <w:fldChar w:fldCharType="end"/>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fldChar w:fldCharType="begin"/>
      </w:r>
      <w:r>
        <w:rPr>
          <w:sz w:val="36"/>
        </w:rPr>
        <w:instrText xml:space="preserve"> TC "</w:instrText>
        <w:tab/>
        <w:instrText xml:space="preserve">Section 4.01</w:instrText>
        <w:tab/>
        <w:instrText xml:space="preserve">Auction " \l 1 </w:instrText>
      </w:r>
      <w:r>
        <w:rPr>
          <w:sz w:val="36"/>
        </w:rPr>
        <w:fldChar w:fldCharType="separate"/>
      </w:r>
      <w:r>
        <w:rPr>
          <w:sz w:val="36"/>
        </w:rPr>
      </w:r>
      <w:r>
        <w:rPr>
          <w:sz w:val="36"/>
        </w:rPr>
        <w:fldChar w:fldCharType="end"/>
      </w:r>
      <w:r>
        <w:rPr>
          <w:sz w:val="36"/>
        </w:rPr>
        <w:t>.    It is hereby agreed that a sealed bid auction sale of all but not less than all of the Asset LLC Interest (an “</w:t>
      </w:r>
      <w:r>
        <w:rPr>
          <w:sz w:val="36"/>
          <w:u w:val="single"/>
        </w:rPr>
        <w:t>Auction</w:t>
      </w:r>
      <w:r>
        <w:rPr>
          <w:sz w:val="36"/>
        </w:rPr>
        <w:t xml:space="preserve">”) shall be conducted in accordance with, and subject to the restrictions specified in, Section 3.03(b)(A) of the Asset LLC Agreement.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u w:val="single"/>
        </w:rPr>
      </w:pPr>
      <w:r>
        <w:rPr>
          <w:sz w:val="36"/>
          <w:u w:val="single"/>
        </w:rPr>
      </w:r>
    </w:p>
    <w:p>
      <w:pPr>
        <w:pStyle w:val="Normal"/>
        <w:bidi w:val="0"/>
        <w:jc w:val="center"/>
        <w:rPr>
          <w:sz w:val="36"/>
        </w:rPr>
      </w:pPr>
      <w:r>
        <w:fldChar w:fldCharType="begin"/>
      </w:r>
      <w:r>
        <w:rPr/>
        <w:instrText xml:space="preserve"> TC "ARTICLE VREPRESENTATIONS AND WARRANTIES" \l 1 </w:instrText>
      </w:r>
      <w:r>
        <w:rPr/>
        <w:fldChar w:fldCharType="separate"/>
      </w:r>
      <w:r>
        <w:rPr/>
      </w:r>
      <w:r>
        <w:rPr/>
        <w:fldChar w:fldCharType="end"/>
      </w:r>
    </w:p>
    <w:p>
      <w:pPr>
        <w:pStyle w:val="Normal"/>
        <w:bidi w:val="0"/>
        <w:jc w:val="center"/>
        <w:rPr>
          <w:sz w:val="36"/>
        </w:rPr>
      </w:pPr>
      <w:r>
        <w:fldChar w:fldCharType="begin"/>
      </w:r>
      <w:r>
        <w:rPr>
          <w:sz w:val="36"/>
        </w:rPr>
        <w:instrText xml:space="preserve"> TC "</w:instrText>
        <w:tab/>
        <w:instrText xml:space="preserve">Section 5.01</w:instrText>
        <w:tab/>
        <w:instrText xml:space="preserve">Representations and Warranties of the Transferor " \l 1 </w:instrText>
      </w:r>
      <w:r>
        <w:rPr>
          <w:sz w:val="36"/>
        </w:rPr>
        <w:fldChar w:fldCharType="separate"/>
      </w:r>
      <w:r>
        <w:rPr>
          <w:sz w:val="36"/>
        </w:rPr>
      </w:r>
      <w:r>
        <w:rPr>
          <w:sz w:val="36"/>
        </w:rPr>
        <w:fldChar w:fldCharType="end"/>
      </w:r>
      <w:r>
        <w:rPr>
          <w:sz w:val="36"/>
        </w:rPr>
        <w:t>.    The Transferor hereby represents and warrants to the Trust for its benefit and for the benefit of the Lenders and the Series Certificate Holder that the following statements are true and correct as of the Closing Date:</w:t>
      </w:r>
    </w:p>
    <w:p>
      <w:pPr>
        <w:pStyle w:val="Normal"/>
        <w:bidi w:val="0"/>
        <w:jc w:val="center"/>
        <w:rPr>
          <w:sz w:val="36"/>
        </w:rPr>
      </w:pPr>
      <w:r>
        <w:rPr>
          <w:sz w:val="36"/>
        </w:rPr>
      </w:r>
    </w:p>
    <w:p>
      <w:pPr>
        <w:pStyle w:val="Normal"/>
        <w:bidi w:val="0"/>
        <w:jc w:val="center"/>
        <w:rPr>
          <w:sz w:val="36"/>
        </w:rPr>
      </w:pPr>
      <w:r>
        <w:rPr>
          <w:sz w:val="36"/>
        </w:rPr>
        <w:tab/>
        <w:t>(a)</w:t>
        <w:tab/>
      </w:r>
      <w:r>
        <w:rPr>
          <w:sz w:val="36"/>
          <w:u w:val="single"/>
        </w:rPr>
        <w:t>Organization and Authority</w:t>
      </w:r>
      <w:r>
        <w:rPr>
          <w:sz w:val="36"/>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pStyle w:val="Normal"/>
        <w:bidi w:val="0"/>
        <w:jc w:val="center"/>
        <w:rPr>
          <w:sz w:val="36"/>
        </w:rPr>
      </w:pPr>
      <w:r>
        <w:rPr>
          <w:sz w:val="36"/>
        </w:rPr>
      </w:r>
    </w:p>
    <w:p>
      <w:pPr>
        <w:pStyle w:val="Normal"/>
        <w:bidi w:val="0"/>
        <w:jc w:val="center"/>
        <w:rPr>
          <w:sz w:val="36"/>
        </w:rPr>
      </w:pPr>
      <w:r>
        <w:rPr>
          <w:sz w:val="36"/>
        </w:rPr>
        <w:tab/>
        <w:t>(b)</w:t>
        <w:tab/>
      </w:r>
      <w:r>
        <w:rPr>
          <w:sz w:val="36"/>
          <w:u w:val="single"/>
        </w:rPr>
        <w:t>Authorization</w:t>
      </w:r>
      <w:r>
        <w:rPr>
          <w:sz w:val="36"/>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bidi w:val="0"/>
        <w:jc w:val="center"/>
        <w:rPr>
          <w:sz w:val="36"/>
        </w:rPr>
      </w:pPr>
      <w:r>
        <w:rPr>
          <w:sz w:val="36"/>
        </w:rPr>
      </w:r>
    </w:p>
    <w:p>
      <w:pPr>
        <w:pStyle w:val="Normal"/>
        <w:bidi w:val="0"/>
        <w:jc w:val="center"/>
        <w:rPr>
          <w:sz w:val="36"/>
        </w:rPr>
      </w:pPr>
      <w:r>
        <w:rPr>
          <w:sz w:val="36"/>
        </w:rPr>
        <w:tab/>
        <w:t>(c)</w:t>
        <w:tab/>
      </w:r>
      <w:r>
        <w:rPr>
          <w:sz w:val="36"/>
          <w:u w:val="single"/>
        </w:rPr>
        <w:t>Enforceability</w:t>
      </w:r>
      <w:r>
        <w:rPr>
          <w:sz w:val="36"/>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bidi w:val="0"/>
        <w:jc w:val="center"/>
        <w:rPr>
          <w:sz w:val="36"/>
        </w:rPr>
      </w:pPr>
      <w:r>
        <w:rPr>
          <w:sz w:val="36"/>
        </w:rPr>
      </w:r>
    </w:p>
    <w:p>
      <w:pPr>
        <w:pStyle w:val="Normal"/>
        <w:bidi w:val="0"/>
        <w:jc w:val="center"/>
        <w:rPr>
          <w:sz w:val="36"/>
        </w:rPr>
      </w:pPr>
      <w:r>
        <w:rPr>
          <w:sz w:val="36"/>
        </w:rPr>
        <w:tab/>
        <w:t>(d)</w:t>
        <w:tab/>
      </w:r>
      <w:r>
        <w:rPr>
          <w:sz w:val="36"/>
          <w:u w:val="single"/>
        </w:rPr>
        <w:t>Litigation</w:t>
      </w:r>
      <w:r>
        <w:rPr>
          <w:sz w:val="36"/>
        </w:rPr>
        <w:t>.    There is no Action pending against (or, to the knowledge of the Transferor, threatened against) the Transferor before any Governmental Authority.</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keepLines/>
        <w:bidi w:val="0"/>
        <w:ind w:hanging="0" w:start="720"/>
        <w:jc w:val="start"/>
        <w:rPr>
          <w:sz w:val="36"/>
        </w:rPr>
      </w:pPr>
      <w:r>
        <w:rPr>
          <w:sz w:val="36"/>
        </w:rPr>
        <w:t>(i)</w:t>
        <w:tab/>
        <w:t>It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It is exempt from, or not subject to,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Consents</w:t>
      </w:r>
      <w:r>
        <w:rPr>
          <w:sz w:val="36"/>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keepLines/>
        <w:bidi w:val="0"/>
        <w:jc w:val="start"/>
        <w:rPr>
          <w:sz w:val="36"/>
        </w:rPr>
      </w:pPr>
      <w:r>
        <w:rPr>
          <w:sz w:val="36"/>
        </w:rPr>
        <w:tab/>
        <w:t>(g)</w:t>
        <w:tab/>
      </w:r>
      <w:r>
        <w:rPr>
          <w:sz w:val="36"/>
          <w:u w:val="single"/>
        </w:rPr>
        <w:t>Location</w:t>
      </w:r>
      <w:r>
        <w:rPr>
          <w:sz w:val="36"/>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bidi w:val="0"/>
        <w:jc w:val="start"/>
        <w:rPr>
          <w:sz w:val="36"/>
        </w:rPr>
      </w:pPr>
      <w:r>
        <w:rPr>
          <w:sz w:val="36"/>
        </w:rPr>
      </w:r>
    </w:p>
    <w:p>
      <w:pPr>
        <w:pStyle w:val="Normal"/>
        <w:bidi w:val="0"/>
        <w:jc w:val="start"/>
        <w:rPr>
          <w:sz w:val="36"/>
        </w:rPr>
      </w:pPr>
      <w:r>
        <w:rPr>
          <w:sz w:val="36"/>
        </w:rPr>
        <w:tab/>
        <w:t>(h)</w:t>
        <w:tab/>
      </w:r>
      <w:r>
        <w:rPr>
          <w:sz w:val="36"/>
          <w:u w:val="single"/>
        </w:rPr>
        <w:t>Name</w:t>
      </w:r>
      <w:r>
        <w:rPr>
          <w:sz w:val="36"/>
        </w:rPr>
        <w:t>.    It has not changed its name prior to the date hereof.</w:t>
      </w:r>
    </w:p>
    <w:p>
      <w:pPr>
        <w:pStyle w:val="Normal"/>
        <w:bidi w:val="0"/>
        <w:jc w:val="start"/>
        <w:rPr>
          <w:sz w:val="36"/>
        </w:rPr>
      </w:pPr>
      <w:r>
        <w:rPr>
          <w:sz w:val="36"/>
        </w:rPr>
      </w:r>
    </w:p>
    <w:p>
      <w:pPr>
        <w:pStyle w:val="Normal"/>
        <w:bidi w:val="0"/>
        <w:ind w:hanging="0" w:start="720"/>
        <w:jc w:val="start"/>
        <w:rPr>
          <w:sz w:val="36"/>
        </w:rPr>
      </w:pPr>
      <w:r>
        <w:rPr>
          <w:sz w:val="36"/>
        </w:rPr>
        <w:t>(i)</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Title; Liens</w:t>
      </w:r>
      <w:r>
        <w:rPr>
          <w:sz w:val="36"/>
        </w:rPr>
        <w:t>.    Immediately prior to the transfer pursuant to Section 2.01: (a) the Transferor holds good title to the Asset LLC Interest, and the Transferor’s rights in the Asset LLC Interest are free and clear of all Liens and (b) Asset LLC holds good title to the Asset subject only to any Liens thereon which have been disclosed to and approved by the Agent and the Subscriber.</w:t>
      </w:r>
    </w:p>
    <w:p>
      <w:pPr>
        <w:pStyle w:val="Normal"/>
        <w:bidi w:val="0"/>
        <w:jc w:val="start"/>
        <w:rPr>
          <w:sz w:val="36"/>
        </w:rPr>
      </w:pPr>
      <w:r>
        <w:rPr>
          <w:sz w:val="36"/>
        </w:rPr>
      </w:r>
    </w:p>
    <w:p>
      <w:pPr>
        <w:pStyle w:val="Normal"/>
        <w:bidi w:val="0"/>
        <w:jc w:val="start"/>
        <w:rPr>
          <w:sz w:val="36"/>
        </w:rPr>
      </w:pPr>
      <w:r>
        <w:rPr>
          <w:sz w:val="36"/>
        </w:rPr>
        <w:tab/>
        <w:t>(k)</w:t>
        <w:tab/>
      </w:r>
      <w:r>
        <w:rPr>
          <w:sz w:val="36"/>
          <w:u w:val="single"/>
        </w:rPr>
        <w:t>Compliance with Law</w:t>
      </w:r>
      <w:r>
        <w:rPr>
          <w:sz w:val="36"/>
        </w:rPr>
        <w:t>.    The Transferor is in compliance with all Law (including applicable Environmen</w:t>
        <w:softHyphen/>
        <w:t>tal Law), regulations, and orders of any Governmental Authority applicable to it or its property.</w:t>
      </w:r>
    </w:p>
    <w:p>
      <w:pPr>
        <w:pStyle w:val="Normal"/>
        <w:bidi w:val="0"/>
        <w:jc w:val="start"/>
        <w:rPr>
          <w:sz w:val="36"/>
        </w:rPr>
      </w:pPr>
      <w:r>
        <w:rPr>
          <w:sz w:val="36"/>
        </w:rPr>
      </w:r>
    </w:p>
    <w:p>
      <w:pPr>
        <w:pStyle w:val="Normal"/>
        <w:bidi w:val="0"/>
        <w:jc w:val="start"/>
        <w:rPr>
          <w:sz w:val="36"/>
        </w:rPr>
      </w:pPr>
      <w:r>
        <w:rPr>
          <w:sz w:val="36"/>
        </w:rPr>
        <w:tab/>
        <w:t>(l)</w:t>
        <w:tab/>
      </w:r>
      <w:r>
        <w:rPr>
          <w:sz w:val="36"/>
          <w:u w:val="single"/>
        </w:rPr>
        <w:t>ERISA</w:t>
      </w:r>
      <w:r>
        <w:rPr>
          <w:sz w:val="36"/>
        </w:rPr>
        <w:t>.    The execution and delivery of this Transfer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5.02</w:instrText>
        <w:tab/>
        <w:instrText xml:space="preserve">Representations and Warranties of the Sponsor " \l 1 </w:instrText>
      </w:r>
      <w:r>
        <w:rPr>
          <w:sz w:val="36"/>
        </w:rPr>
        <w:fldChar w:fldCharType="separate"/>
      </w:r>
      <w:r>
        <w:rPr>
          <w:sz w:val="36"/>
        </w:rPr>
      </w:r>
      <w:r>
        <w:rPr>
          <w:sz w:val="36"/>
        </w:rPr>
        <w:fldChar w:fldCharType="end"/>
      </w:r>
      <w:r>
        <w:rPr>
          <w:sz w:val="36"/>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keepNext w:val="true"/>
        <w:bidi w:val="0"/>
        <w:jc w:val="start"/>
        <w:rPr>
          <w:sz w:val="36"/>
        </w:rPr>
      </w:pPr>
      <w:r>
        <w:rPr>
          <w:sz w:val="36"/>
        </w:rPr>
      </w:r>
    </w:p>
    <w:p>
      <w:pPr>
        <w:pStyle w:val="Normal"/>
        <w:keepNext w:val="true"/>
        <w:bidi w:val="0"/>
        <w:jc w:val="start"/>
        <w:rPr>
          <w:sz w:val="36"/>
        </w:rPr>
      </w:pPr>
      <w:r>
        <w:rPr>
          <w:sz w:val="36"/>
        </w:rPr>
        <w:tab/>
        <w:t>(a)</w:t>
        <w:tab/>
      </w:r>
      <w:r>
        <w:rPr>
          <w:sz w:val="36"/>
          <w:u w:val="single"/>
        </w:rPr>
        <w:t>Organization and Authority</w:t>
      </w:r>
      <w:r>
        <w:rPr>
          <w:sz w:val="36"/>
        </w:rPr>
        <w:t xml:space="preserve">.    </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bidi w:val="0"/>
        <w:jc w:val="start"/>
        <w:rPr>
          <w:sz w:val="36"/>
        </w:rPr>
      </w:pPr>
      <w:r>
        <w:rPr>
          <w:sz w:val="36"/>
        </w:rPr>
      </w:r>
    </w:p>
    <w:p>
      <w:pPr>
        <w:pStyle w:val="Normal"/>
        <w:bidi w:val="0"/>
        <w:ind w:hanging="0" w:start="720"/>
        <w:jc w:val="start"/>
        <w:rPr>
          <w:sz w:val="36"/>
        </w:rPr>
      </w:pPr>
      <w:r>
        <w:rPr>
          <w:sz w:val="36"/>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Authorization</w:t>
      </w:r>
      <w:r>
        <w:rPr>
          <w:sz w:val="36"/>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Enforceability</w:t>
      </w:r>
      <w:r>
        <w:rPr>
          <w:sz w:val="36"/>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Litigation</w:t>
      </w:r>
      <w:r>
        <w:rPr>
          <w:sz w:val="36"/>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not an “investment company” or a company “controlled” by an “investment company” within the meaning of the Investment Company Act.    Assuming that the Trust is not an “investment company” or a company “controlled” by an “investment company,” Asset LLC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is exempt from, or not subject to, regulation as a “holding company” or a “subsidiary company” of a “holding company,” in each case as such term is defined in PUHCA.    Assuming that the Trust is exempt from, or not subject to, regulation as a “holding company” or a “subsidiary company” of a “holding company,” Asset LLC is exempt from, or not subject to, regulation as a “holding company” or a “subsidiary company” of a “holding company”.</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(g)</w:t>
        <w:tab/>
      </w:r>
      <w:r>
        <w:rPr>
          <w:sz w:val="36"/>
          <w:u w:val="single"/>
        </w:rPr>
        <w:t>Consents</w:t>
      </w:r>
      <w:r>
        <w:rPr>
          <w:sz w:val="36"/>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bidi w:val="0"/>
        <w:jc w:val="start"/>
        <w:rPr>
          <w:sz w:val="36"/>
        </w:rPr>
      </w:pPr>
      <w:r>
        <w:rPr>
          <w:sz w:val="36"/>
        </w:rPr>
        <w:tab/>
        <w:t>(h)</w:t>
        <w:tab/>
      </w:r>
      <w:r>
        <w:rPr>
          <w:sz w:val="36"/>
          <w:u w:val="single"/>
        </w:rPr>
        <w:t>Compliance with Laws</w:t>
      </w:r>
      <w:r>
        <w:rPr>
          <w:sz w:val="36"/>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bidi w:val="0"/>
        <w:jc w:val="start"/>
        <w:rPr>
          <w:sz w:val="36"/>
        </w:rPr>
      </w:pPr>
      <w:r>
        <w:rPr>
          <w:sz w:val="36"/>
        </w:rPr>
      </w:r>
    </w:p>
    <w:p>
      <w:pPr>
        <w:pStyle w:val="Normal"/>
        <w:bidi w:val="0"/>
        <w:jc w:val="start"/>
        <w:rPr>
          <w:sz w:val="36"/>
        </w:rPr>
      </w:pPr>
      <w:r>
        <w:rPr>
          <w:sz w:val="36"/>
        </w:rPr>
        <w:tab/>
        <w:t>(i)</w:t>
        <w:tab/>
      </w:r>
      <w:r>
        <w:rPr>
          <w:sz w:val="36"/>
          <w:u w:val="single"/>
        </w:rPr>
        <w:t>ERISA</w:t>
      </w:r>
      <w:r>
        <w:rPr>
          <w:sz w:val="36"/>
        </w:rPr>
        <w:t>.    The execution and delivery of this Transfer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No Material Adverse Change</w:t>
      </w:r>
      <w:r>
        <w:rPr>
          <w:sz w:val="36"/>
        </w:rPr>
        <w:t xml:space="preserve">.    Since </w:t>
      </w:r>
      <w:r>
        <w:rPr>
          <w:b/>
          <w:i/>
          <w:sz w:val="36"/>
        </w:rPr>
        <w:t>[insert date of most recently available 10Q]</w:t>
      </w:r>
      <w:r>
        <w:rPr>
          <w:sz w:val="36"/>
        </w:rPr>
        <w:t xml:space="preserve"> there has been no material adverse change in the business, consolidated financial position or results of operations of the Sponsor and its Subsidiaries, taken as a whole.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5.03</w:instrText>
        <w:tab/>
        <w:instrText xml:space="preserve">Survival " \l 1 </w:instrText>
      </w:r>
      <w:r>
        <w:rPr>
          <w:sz w:val="36"/>
        </w:rPr>
        <w:fldChar w:fldCharType="separate"/>
      </w:r>
      <w:r>
        <w:rPr>
          <w:sz w:val="36"/>
        </w:rPr>
      </w:r>
      <w:r>
        <w:rPr>
          <w:sz w:val="36"/>
        </w:rPr>
        <w:fldChar w:fldCharType="end"/>
      </w:r>
      <w:r>
        <w:rPr>
          <w:sz w:val="36"/>
        </w:rPr>
        <w:t>.    The representations and warranties set forth in Sections 5.01 and 5.02 shall survive the Trust’s acquisition of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VICOVENANTS"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6.01</w:instrText>
        <w:tab/>
        <w:instrText xml:space="preserve">Covenants of the Transferor " \l 1 </w:instrText>
      </w:r>
      <w:r>
        <w:rPr>
          <w:sz w:val="36"/>
        </w:rPr>
        <w:fldChar w:fldCharType="separate"/>
      </w:r>
      <w:r>
        <w:rPr>
          <w:sz w:val="36"/>
        </w:rPr>
      </w:r>
      <w:r>
        <w:rPr>
          <w:sz w:val="36"/>
        </w:rPr>
        <w:fldChar w:fldCharType="end"/>
      </w:r>
      <w:r>
        <w:rPr>
          <w:sz w:val="36"/>
        </w:rPr>
        <w:t>.    The Transferor covenants that, so long as the Trust holds the Asset LLC Interest:</w:t>
      </w:r>
    </w:p>
    <w:p>
      <w:pPr>
        <w:pStyle w:val="Normal"/>
        <w:keepNext w:val="true"/>
        <w:keepLines/>
        <w:bidi w:val="0"/>
        <w:jc w:val="center"/>
        <w:rPr>
          <w:sz w:val="36"/>
        </w:rPr>
      </w:pPr>
      <w:r>
        <w:rPr>
          <w:sz w:val="36"/>
        </w:rPr>
      </w:r>
    </w:p>
    <w:p>
      <w:pPr>
        <w:pStyle w:val="Normal"/>
        <w:keepLines/>
        <w:bidi w:val="0"/>
        <w:jc w:val="start"/>
        <w:rPr>
          <w:sz w:val="36"/>
        </w:rPr>
      </w:pPr>
      <w:r>
        <w:rPr>
          <w:sz w:val="36"/>
        </w:rPr>
        <w:tab/>
        <w:t>(a)</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Transferor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Transferor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Preservation of Corporate Existence, Etc.</w:t>
      </w:r>
      <w:r>
        <w:rPr>
          <w:sz w:val="36"/>
        </w:rPr>
        <w:t>    Other than as contemplated in Section 6.01(d)(xiv), the Transferor shall preserve and maintain its legal existence, rights, and franchises.</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Compliance with Laws</w:t>
      </w:r>
      <w:r>
        <w:rPr>
          <w:sz w:val="36"/>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t>(d)</w:t>
        <w:tab/>
      </w:r>
      <w:r>
        <w:rPr>
          <w:sz w:val="36"/>
          <w:u w:val="single"/>
        </w:rPr>
        <w:t>Limited Purpose Activities; Separate Existence</w:t>
      </w:r>
      <w:r>
        <w:rPr>
          <w:sz w:val="36"/>
        </w:rPr>
        <w:t>.</w:t>
      </w:r>
    </w:p>
    <w:p>
      <w:pPr>
        <w:pStyle w:val="Normal"/>
        <w:keepNext w:val="true"/>
        <w:bidi w:val="0"/>
        <w:jc w:val="start"/>
        <w:rPr>
          <w:sz w:val="36"/>
        </w:rPr>
      </w:pPr>
      <w:r>
        <w:rPr>
          <w:sz w:val="36"/>
        </w:rPr>
      </w:r>
    </w:p>
    <w:p>
      <w:pPr>
        <w:pStyle w:val="Normal"/>
        <w:keepNext w:val="true"/>
        <w:keepLines/>
        <w:bidi w:val="0"/>
        <w:ind w:hanging="0" w:start="720"/>
        <w:jc w:val="start"/>
        <w:rPr>
          <w:sz w:val="36"/>
        </w:rPr>
      </w:pPr>
      <w:r>
        <w:rPr>
          <w:sz w:val="36"/>
        </w:rPr>
        <w:t>(i)</w:t>
        <w:tab/>
        <w:t>The Transferor shall not conduct any activities other than those contemplated in the Transferor Constitutional Document;</w:t>
      </w:r>
    </w:p>
    <w:p>
      <w:pPr>
        <w:pStyle w:val="Normal"/>
        <w:keepLines/>
        <w:bidi w:val="0"/>
        <w:jc w:val="start"/>
        <w:rPr>
          <w:sz w:val="36"/>
        </w:rPr>
      </w:pPr>
      <w:r>
        <w:rPr>
          <w:sz w:val="36"/>
        </w:rPr>
      </w:r>
    </w:p>
    <w:p>
      <w:pPr>
        <w:pStyle w:val="Normal"/>
        <w:bidi w:val="0"/>
        <w:ind w:hanging="0" w:start="720"/>
        <w:jc w:val="start"/>
        <w:rPr>
          <w:sz w:val="36"/>
        </w:rPr>
      </w:pPr>
      <w:r>
        <w:rPr>
          <w:sz w:val="36"/>
        </w:rPr>
        <w:t>(ii)</w:t>
        <w:tab/>
        <w:t xml:space="preserve">Except as </w:t>
      </w:r>
      <w:bookmarkStart w:id="11" w:name="Redline_32_15"/>
      <w:bookmarkEnd w:id="11"/>
      <w:ins w:id="21" w:author="">
        <w:r>
          <w:rPr>
            <w:strike/>
            <w:sz w:val="36"/>
          </w:rPr>
          <w:t>expressly</w:t>
        </w:r>
      </w:ins>
      <w:r>
        <w:rPr>
          <w:sz w:val="36"/>
        </w:rPr>
        <w:t xml:space="preserve"> contemplated in the Transferor Constitutional Document, Transferor shall not guarantee any debts of Enron,</w:t>
      </w:r>
      <w:r>
        <w:rPr>
          <w:b/>
          <w:i/>
          <w:sz w:val="36"/>
        </w:rPr>
        <w:t xml:space="preserve"> [the Permitted Swap Party,]</w:t>
      </w:r>
      <w:r>
        <w:rPr>
          <w:sz w:val="36"/>
        </w:rPr>
        <w:t xml:space="preserve"> the Sponsor, their respective Affiliates or any other person and shall not acquire obligations of or securities of or make any loans or advances to Enron, </w:t>
      </w:r>
      <w:r>
        <w:rPr>
          <w:b/>
          <w:i/>
          <w:sz w:val="36"/>
        </w:rPr>
        <w:t>[the Permitted Swap Party],</w:t>
      </w:r>
      <w:r>
        <w:rPr>
          <w:sz w:val="36"/>
        </w:rPr>
        <w:t xml:space="preserve">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keepNext w:val="true"/>
        <w:bidi w:val="0"/>
        <w:jc w:val="start"/>
        <w:rPr>
          <w:sz w:val="36"/>
        </w:rPr>
      </w:pPr>
      <w:r>
        <w:rPr>
          <w:sz w:val="36"/>
        </w:rPr>
      </w:r>
    </w:p>
    <w:p>
      <w:pPr>
        <w:pStyle w:val="Normal"/>
        <w:bidi w:val="0"/>
        <w:ind w:hanging="0" w:start="720"/>
        <w:jc w:val="start"/>
        <w:rPr>
          <w:sz w:val="36"/>
        </w:rPr>
      </w:pPr>
      <w:r>
        <w:rPr>
          <w:sz w:val="36"/>
        </w:rPr>
        <w:t>(iii)</w:t>
        <w:tab/>
        <w:t xml:space="preserve">Except as </w:t>
      </w:r>
      <w:ins w:id="22" w:author="">
        <w:r>
          <w:rPr>
            <w:strike/>
            <w:sz w:val="36"/>
          </w:rPr>
          <w:t>expressly</w:t>
        </w:r>
      </w:ins>
      <w:r>
        <w:rPr>
          <w:sz w:val="36"/>
        </w:rPr>
        <w:t xml:space="preserve"> contemplated in the Transferor Constitutional Document,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36"/>
          <w:u w:val="single"/>
        </w:rPr>
        <w:t>provided</w:t>
      </w:r>
      <w:r>
        <w:rPr>
          <w:sz w:val="36"/>
        </w:rPr>
        <w:t xml:space="preserve"> that the Transferor shall have the right to enter into the Operative Documents to which it is a party and the Asset LLC Note (and any other agreements or transactions contemplated thereby); </w:t>
      </w:r>
    </w:p>
    <w:p>
      <w:pPr>
        <w:pStyle w:val="Normal"/>
        <w:bidi w:val="0"/>
        <w:jc w:val="start"/>
        <w:rPr>
          <w:sz w:val="36"/>
        </w:rPr>
      </w:pPr>
      <w:r>
        <w:rPr>
          <w:sz w:val="36"/>
        </w:rPr>
      </w:r>
    </w:p>
    <w:p>
      <w:pPr>
        <w:pStyle w:val="Normal"/>
        <w:bidi w:val="0"/>
        <w:ind w:hanging="0" w:start="720"/>
        <w:jc w:val="start"/>
        <w:rPr>
          <w:sz w:val="36"/>
        </w:rPr>
      </w:pPr>
      <w:r>
        <w:rPr>
          <w:sz w:val="36"/>
        </w:rPr>
        <w:t>(iv)</w:t>
        <w:tab/>
        <w:t>The Transferor shall not sell, assign, convey (other than a sale or conveyance under Section 2.01</w:t>
      </w:r>
      <w:ins w:id="23" w:author="">
        <w:r>
          <w:rPr>
            <w:strike/>
            <w:sz w:val="36"/>
          </w:rPr>
          <w:t>(a)</w:t>
        </w:r>
      </w:ins>
      <w:r>
        <w:rPr>
          <w:sz w:val="36"/>
        </w:rPr>
        <w:t xml:space="preserve"> or Article IV of this Transfer and Auction Agreement) , or otherwise suffer to exist any Lien on the Asset LLC Interest;</w:t>
      </w:r>
    </w:p>
    <w:p>
      <w:pPr>
        <w:pStyle w:val="Normal"/>
        <w:bidi w:val="0"/>
        <w:jc w:val="start"/>
        <w:rPr>
          <w:sz w:val="36"/>
        </w:rPr>
      </w:pPr>
      <w:r>
        <w:rPr>
          <w:sz w:val="36"/>
        </w:rPr>
      </w:r>
    </w:p>
    <w:p>
      <w:pPr>
        <w:pStyle w:val="Normal"/>
        <w:bidi w:val="0"/>
        <w:ind w:hanging="0" w:start="720"/>
        <w:jc w:val="start"/>
        <w:rPr>
          <w:sz w:val="36"/>
        </w:rPr>
      </w:pPr>
      <w:r>
        <w:rPr>
          <w:sz w:val="36"/>
        </w:rPr>
        <w:t>(v)</w:t>
        <w:tab/>
        <w:t>The Transferor shall hold regular meetings, as appropriate to conduct the business of the Transferor, and observe all customary regulational and operational formalities;</w:t>
      </w:r>
    </w:p>
    <w:p>
      <w:pPr>
        <w:pStyle w:val="Normal"/>
        <w:bidi w:val="0"/>
        <w:jc w:val="start"/>
        <w:rPr>
          <w:sz w:val="36"/>
        </w:rPr>
      </w:pPr>
      <w:r>
        <w:rPr>
          <w:sz w:val="36"/>
        </w:rPr>
      </w:r>
    </w:p>
    <w:p>
      <w:pPr>
        <w:pStyle w:val="Normal"/>
        <w:bidi w:val="0"/>
        <w:ind w:hanging="0" w:start="720"/>
        <w:jc w:val="start"/>
        <w:rPr>
          <w:sz w:val="36"/>
        </w:rPr>
      </w:pPr>
      <w:r>
        <w:rPr>
          <w:sz w:val="36"/>
        </w:rPr>
        <w:t>(vi)</w:t>
        <w:tab/>
        <w:t>The Transferor shall maintain books and records and bank accounts separate from those of any other person;</w:t>
      </w:r>
    </w:p>
    <w:p>
      <w:pPr>
        <w:pStyle w:val="Normal"/>
        <w:bidi w:val="0"/>
        <w:jc w:val="start"/>
        <w:rPr>
          <w:sz w:val="36"/>
        </w:rPr>
      </w:pPr>
      <w:r>
        <w:rPr>
          <w:sz w:val="36"/>
        </w:rPr>
      </w:r>
    </w:p>
    <w:p>
      <w:pPr>
        <w:pStyle w:val="Normal"/>
        <w:bidi w:val="0"/>
        <w:ind w:hanging="0" w:start="720"/>
        <w:jc w:val="start"/>
        <w:rPr>
          <w:sz w:val="36"/>
        </w:rPr>
      </w:pPr>
      <w:r>
        <w:rPr>
          <w:sz w:val="36"/>
        </w:rPr>
        <w:t>(vii)</w:t>
        <w:tab/>
        <w:t>The Transferor shall be disclosed as a separate subsidiary in public filings of Enron</w:t>
      </w:r>
      <w:r>
        <w:rPr>
          <w:b/>
          <w:sz w:val="36"/>
        </w:rPr>
        <w:t>;</w:t>
      </w:r>
    </w:p>
    <w:p>
      <w:pPr>
        <w:pStyle w:val="Normal"/>
        <w:bidi w:val="0"/>
        <w:jc w:val="start"/>
        <w:rPr>
          <w:sz w:val="36"/>
        </w:rPr>
      </w:pPr>
      <w:r>
        <w:rPr>
          <w:sz w:val="36"/>
        </w:rPr>
      </w:r>
    </w:p>
    <w:p>
      <w:pPr>
        <w:pStyle w:val="Normal"/>
        <w:bidi w:val="0"/>
        <w:ind w:hanging="0" w:start="720"/>
        <w:jc w:val="start"/>
        <w:rPr>
          <w:sz w:val="36"/>
        </w:rPr>
      </w:pPr>
      <w:r>
        <w:rPr>
          <w:sz w:val="36"/>
        </w:rPr>
        <w:t>(viii)</w:t>
        <w:tab/>
        <w:t>The Transferor shall transact all business with affiliates on an arm’s-length basis and pursuant to written, enforceable agreements;</w:t>
      </w:r>
    </w:p>
    <w:p>
      <w:pPr>
        <w:pStyle w:val="Normal"/>
        <w:bidi w:val="0"/>
        <w:jc w:val="start"/>
        <w:rPr>
          <w:sz w:val="36"/>
        </w:rPr>
      </w:pPr>
      <w:r>
        <w:rPr>
          <w:sz w:val="36"/>
        </w:rPr>
      </w:r>
    </w:p>
    <w:p>
      <w:pPr>
        <w:pStyle w:val="Normal"/>
        <w:bidi w:val="0"/>
        <w:ind w:hanging="0" w:start="720"/>
        <w:jc w:val="start"/>
        <w:rPr>
          <w:sz w:val="36"/>
        </w:rPr>
      </w:pPr>
      <w:r>
        <w:rPr>
          <w:sz w:val="36"/>
        </w:rPr>
        <w:t>(ix)</w:t>
        <w:tab/>
        <w:t>The Transferor shall maintain its assets in such a manner that it is not costly or difficult to segregate, identify or ascertain such assets;</w:t>
      </w:r>
    </w:p>
    <w:p>
      <w:pPr>
        <w:pStyle w:val="Normal"/>
        <w:bidi w:val="0"/>
        <w:jc w:val="start"/>
        <w:rPr>
          <w:sz w:val="36"/>
        </w:rPr>
      </w:pPr>
      <w:r>
        <w:rPr>
          <w:sz w:val="36"/>
        </w:rPr>
      </w:r>
    </w:p>
    <w:p>
      <w:pPr>
        <w:pStyle w:val="Normal"/>
        <w:bidi w:val="0"/>
        <w:ind w:hanging="0" w:start="720"/>
        <w:jc w:val="start"/>
        <w:rPr>
          <w:sz w:val="36"/>
        </w:rPr>
      </w:pPr>
      <w:r>
        <w:rPr>
          <w:sz w:val="36"/>
        </w:rPr>
        <w:t>(x)</w:t>
        <w:tab/>
        <w:t>The Transferor shall allocate and charge fairly and reasonably any common employee or overhead shared with affiliates;</w:t>
      </w:r>
    </w:p>
    <w:p>
      <w:pPr>
        <w:pStyle w:val="Normal"/>
        <w:bidi w:val="0"/>
        <w:ind w:hanging="0" w:start="720"/>
        <w:jc w:val="start"/>
        <w:rPr>
          <w:sz w:val="36"/>
        </w:rPr>
      </w:pPr>
      <w:r>
        <w:rPr>
          <w:sz w:val="36"/>
        </w:rPr>
        <w:tab/>
        <w:t>(xi)</w:t>
        <w:tab/>
        <w:t>The Transferor shall conduct business in its own name, and (if used) use separate stationary, invoices and checks;</w:t>
      </w:r>
    </w:p>
    <w:p>
      <w:pPr>
        <w:pStyle w:val="Normal"/>
        <w:bidi w:val="0"/>
        <w:jc w:val="start"/>
        <w:rPr>
          <w:sz w:val="36"/>
        </w:rPr>
      </w:pPr>
      <w:r>
        <w:rPr>
          <w:sz w:val="36"/>
        </w:rPr>
      </w:r>
    </w:p>
    <w:p>
      <w:pPr>
        <w:pStyle w:val="Normal"/>
        <w:bidi w:val="0"/>
        <w:ind w:hanging="0" w:start="720"/>
        <w:jc w:val="start"/>
        <w:rPr>
          <w:sz w:val="36"/>
        </w:rPr>
      </w:pPr>
      <w:r>
        <w:rPr>
          <w:sz w:val="36"/>
        </w:rPr>
        <w:t>(xii)</w:t>
        <w:tab/>
        <w:t>The Transferor shall not commingle its assets or funds with those of any other person;</w:t>
      </w:r>
    </w:p>
    <w:p>
      <w:pPr>
        <w:pStyle w:val="Normal"/>
        <w:bidi w:val="0"/>
        <w:jc w:val="start"/>
        <w:rPr>
          <w:sz w:val="36"/>
        </w:rPr>
      </w:pPr>
      <w:r>
        <w:rPr>
          <w:sz w:val="36"/>
        </w:rPr>
      </w:r>
    </w:p>
    <w:p>
      <w:pPr>
        <w:pStyle w:val="Normal"/>
        <w:bidi w:val="0"/>
        <w:ind w:hanging="0" w:start="720"/>
        <w:jc w:val="start"/>
        <w:rPr>
          <w:sz w:val="36"/>
        </w:rPr>
      </w:pPr>
      <w:r>
        <w:rPr>
          <w:sz w:val="36"/>
        </w:rPr>
        <w:t>(xiii)</w:t>
        <w:tab/>
        <w:t>The Transferor shall correct any known misunderstanding as to its separate identity; and</w:t>
      </w:r>
    </w:p>
    <w:p>
      <w:pPr>
        <w:pStyle w:val="Normal"/>
        <w:bidi w:val="0"/>
        <w:jc w:val="start"/>
        <w:rPr>
          <w:sz w:val="36"/>
        </w:rPr>
      </w:pPr>
      <w:r>
        <w:rPr>
          <w:sz w:val="36"/>
        </w:rPr>
      </w:r>
    </w:p>
    <w:p>
      <w:pPr>
        <w:pStyle w:val="Normal"/>
        <w:bidi w:val="0"/>
        <w:ind w:hanging="0" w:start="720"/>
        <w:jc w:val="start"/>
        <w:rPr>
          <w:sz w:val="36"/>
        </w:rPr>
      </w:pPr>
      <w:r>
        <w:rPr>
          <w:sz w:val="36"/>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Transfer and    Auction Agreement or any other Operative Document shall exist or result.</w:t>
      </w:r>
    </w:p>
    <w:p>
      <w:pPr>
        <w:pStyle w:val="Normal"/>
        <w:bidi w:val="0"/>
        <w:jc w:val="start"/>
        <w:rPr>
          <w:sz w:val="36"/>
        </w:rPr>
      </w:pPr>
      <w:r>
        <w:rPr>
          <w:sz w:val="36"/>
        </w:rPr>
      </w:r>
    </w:p>
    <w:p>
      <w:pPr>
        <w:pStyle w:val="Normal"/>
        <w:bidi w:val="0"/>
        <w:jc w:val="start"/>
        <w:rPr>
          <w:sz w:val="36"/>
        </w:rPr>
      </w:pPr>
      <w:r>
        <w:rPr>
          <w:sz w:val="36"/>
        </w:rPr>
        <w:tab/>
        <w:t>(e)</w:t>
        <w:tab/>
      </w:r>
      <w:r>
        <w:rPr>
          <w:sz w:val="36"/>
          <w:u w:val="single"/>
        </w:rPr>
        <w:t>Non-Petition Covenant</w:t>
      </w:r>
      <w:r>
        <w:rPr>
          <w:sz w:val="36"/>
        </w:rPr>
        <w:t>.    The Transferor agrees that it will not institute against, or join any other Person in instituting against, the Sponsor, Asset LLC, the Transferor, Enron or the Trust any bankruptcy, reorganization, insolvency, receivership, or other proceeding under any federal or state bankruptcy or similar law.</w:t>
      </w:r>
    </w:p>
    <w:p>
      <w:pPr>
        <w:pStyle w:val="Normal"/>
        <w:bidi w:val="0"/>
        <w:jc w:val="start"/>
        <w:rPr>
          <w:sz w:val="36"/>
        </w:rPr>
      </w:pPr>
      <w:r>
        <w:rPr>
          <w:sz w:val="36"/>
        </w:rPr>
      </w:r>
    </w:p>
    <w:p>
      <w:pPr>
        <w:pStyle w:val="Normal"/>
        <w:bidi w:val="0"/>
        <w:jc w:val="start"/>
        <w:rPr>
          <w:sz w:val="36"/>
        </w:rPr>
      </w:pPr>
      <w:r>
        <w:rPr>
          <w:sz w:val="36"/>
        </w:rPr>
        <w:tab/>
        <w:t xml:space="preserve">(f) </w:t>
        <w:tab/>
        <w:t>The Transferor shall deliver on a timely basis the Auction Notices described in the Asset LLC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6.02</w:instrText>
        <w:tab/>
        <w:instrText xml:space="preserve">Covenants of the Sponsor " \l 1 </w:instrText>
      </w:r>
      <w:r>
        <w:rPr>
          <w:sz w:val="36"/>
        </w:rPr>
        <w:fldChar w:fldCharType="separate"/>
      </w:r>
      <w:r>
        <w:rPr>
          <w:sz w:val="36"/>
        </w:rPr>
      </w:r>
      <w:r>
        <w:rPr>
          <w:sz w:val="36"/>
        </w:rPr>
        <w:fldChar w:fldCharType="end"/>
      </w:r>
      <w:r>
        <w:rPr>
          <w:sz w:val="36"/>
        </w:rPr>
        <w:t>.    The Sponsor covenants that, so long as the Trust holds the Asset LLC Interest: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Reporting Requirements</w:t>
      </w:r>
      <w:r>
        <w:rPr>
          <w:sz w:val="36"/>
        </w:rPr>
        <w:t>.    The Sponsor shall furnish, or cause to be furnished, to the Trust:</w:t>
      </w:r>
    </w:p>
    <w:p>
      <w:pPr>
        <w:pStyle w:val="Normal"/>
        <w:bidi w:val="0"/>
        <w:jc w:val="start"/>
        <w:rPr>
          <w:sz w:val="36"/>
        </w:rPr>
      </w:pPr>
      <w:r>
        <w:rPr>
          <w:sz w:val="36"/>
        </w:rPr>
      </w:r>
    </w:p>
    <w:p>
      <w:pPr>
        <w:pStyle w:val="Normal"/>
        <w:bidi w:val="0"/>
        <w:ind w:hanging="0" w:start="720"/>
        <w:jc w:val="start"/>
        <w:rPr>
          <w:sz w:val="36"/>
        </w:rPr>
      </w:pPr>
      <w:r>
        <w:rPr>
          <w:sz w:val="36"/>
        </w:rPr>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w:t>
      </w:r>
      <w:r>
        <w:rPr>
          <w:b/>
          <w:i/>
          <w:sz w:val="36"/>
        </w:rPr>
        <w:t>[, the Permitted Swap Party,]</w:t>
      </w:r>
      <w:r>
        <w:rPr>
          <w:sz w:val="36"/>
        </w:rPr>
        <w:t xml:space="preserve">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bidi w:val="0"/>
        <w:jc w:val="start"/>
        <w:rPr>
          <w:sz w:val="36"/>
        </w:rPr>
      </w:pPr>
      <w:r>
        <w:rPr>
          <w:sz w:val="36"/>
        </w:rPr>
      </w:r>
    </w:p>
    <w:p>
      <w:pPr>
        <w:pStyle w:val="Normal"/>
        <w:bidi w:val="0"/>
        <w:ind w:hanging="0" w:start="720"/>
        <w:jc w:val="start"/>
        <w:rPr>
          <w:sz w:val="36"/>
        </w:rPr>
      </w:pPr>
      <w:r>
        <w:rPr>
          <w:sz w:val="36"/>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bidi w:val="0"/>
        <w:ind w:hanging="0" w:start="720"/>
        <w:jc w:val="start"/>
        <w:rPr>
          <w:sz w:val="36"/>
        </w:rPr>
      </w:pPr>
      <w:r>
        <w:rPr>
          <w:sz w:val="36"/>
        </w:rPr>
      </w:r>
    </w:p>
    <w:p>
      <w:pPr>
        <w:pStyle w:val="Normal"/>
        <w:bidi w:val="0"/>
        <w:jc w:val="start"/>
        <w:rPr>
          <w:sz w:val="36"/>
        </w:rPr>
      </w:pPr>
      <w:r>
        <w:rPr>
          <w:sz w:val="36"/>
        </w:rPr>
        <w:tab/>
        <w:t>(b)</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Sponsor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Preservation of Corporate Existence, Etc.</w:t>
      </w:r>
      <w:r>
        <w:rPr>
          <w:sz w:val="36"/>
        </w:rPr>
        <w:t xml:space="preserve">    The Sponsor shall preserve and maintain its legal existence and rights; </w:t>
      </w:r>
      <w:r>
        <w:rPr>
          <w:sz w:val="36"/>
          <w:u w:val="single"/>
        </w:rPr>
        <w:t>provided</w:t>
      </w:r>
      <w:r>
        <w:rPr>
          <w:sz w:val="36"/>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Sponsor’s obligations under this Transfer and Auction Agreement (including under Article X) and the other Operative Documents, (ii) no default under this Transfer and Auction Agreement or any other Operative Document shall exist or result, and (iii) the Trust shall have received an opinion of counsel to the Sponsor </w:t>
      </w:r>
      <w:r>
        <w:rPr>
          <w:b/>
          <w:i/>
          <w:sz w:val="36"/>
        </w:rPr>
        <w:t>[, the Permitted Swap Party]</w:t>
      </w:r>
      <w:r>
        <w:rPr>
          <w:sz w:val="36"/>
        </w:rPr>
        <w:t xml:space="preserve"> and Enron, satisfactory in substance to</w:t>
      </w:r>
      <w:r>
        <w:rPr>
          <w:b/>
          <w:sz w:val="36"/>
        </w:rPr>
        <w:t xml:space="preserve"> </w:t>
      </w:r>
      <w:r>
        <w:rPr>
          <w:sz w:val="36"/>
        </w:rPr>
        <w:t>the Trust, with respect to the matters set forth in the preceding clauses (i) and (ii).    The Sponsor shall cause Asset LLC to preserve and maintain its legal existence and rights.</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Permitted Activities</w:t>
      </w:r>
      <w:r>
        <w:rPr>
          <w:sz w:val="36"/>
        </w:rPr>
        <w:t>.    The Sponsor shall cause Asset LLC to refrain from conducting any activities other than those expressly authorized in Section 2.04 of the Asset LLC Agreement.</w:t>
      </w:r>
    </w:p>
    <w:p>
      <w:pPr>
        <w:pStyle w:val="Normal"/>
        <w:bidi w:val="0"/>
        <w:jc w:val="start"/>
        <w:rPr>
          <w:sz w:val="36"/>
        </w:rPr>
      </w:pPr>
      <w:r>
        <w:rPr>
          <w:sz w:val="36"/>
        </w:rPr>
      </w:r>
    </w:p>
    <w:p>
      <w:pPr>
        <w:pStyle w:val="Normal"/>
        <w:bidi w:val="0"/>
        <w:jc w:val="start"/>
        <w:rPr>
          <w:sz w:val="36"/>
        </w:rPr>
      </w:pPr>
      <w:r>
        <w:rPr>
          <w:sz w:val="36"/>
        </w:rPr>
        <w:tab/>
        <w:t>(e)</w:t>
        <w:tab/>
      </w:r>
      <w:r>
        <w:rPr>
          <w:sz w:val="36"/>
          <w:u w:val="single"/>
        </w:rPr>
        <w:t>Compliance with Laws</w:t>
      </w:r>
      <w:r>
        <w:rPr>
          <w:sz w:val="36"/>
        </w:rPr>
        <w:t>.    The Sponsor shall comply with all applicable Law, except to the extent that the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Voluntary Petition</w:t>
      </w:r>
      <w:r>
        <w:rPr>
          <w:sz w:val="36"/>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bidi w:val="0"/>
        <w:jc w:val="start"/>
        <w:rPr>
          <w:sz w:val="36"/>
        </w:rPr>
      </w:pPr>
      <w:r>
        <w:rPr>
          <w:sz w:val="36"/>
        </w:rPr>
      </w:r>
    </w:p>
    <w:p>
      <w:pPr>
        <w:pStyle w:val="Normal"/>
        <w:bidi w:val="0"/>
        <w:jc w:val="start"/>
        <w:rPr>
          <w:sz w:val="36"/>
        </w:rPr>
      </w:pPr>
      <w:r>
        <w:rPr>
          <w:sz w:val="36"/>
        </w:rPr>
        <w:tab/>
        <w:t>(g)</w:t>
        <w:tab/>
      </w:r>
      <w:r>
        <w:rPr>
          <w:sz w:val="36"/>
          <w:u w:val="single"/>
        </w:rPr>
        <w:t>Non-Petition Covenant.</w:t>
      </w:r>
      <w:r>
        <w:rPr>
          <w:sz w:val="36"/>
        </w:rPr>
        <w:t>    The Sponsor, individually and in its capacity as managing member in Asset LLC, agrees and undertakes to procure that the Sponsor and Asset LLC will not institute against, or join any other Person in instituting against, Asset LLC, the Transferor and the Trust any bankruptcy, reorganization, insolvency, receivership, or other proceeding under any federal or state bankruptcy or similar law.</w:t>
      </w:r>
    </w:p>
    <w:p>
      <w:pPr>
        <w:pStyle w:val="Normal"/>
        <w:keepNext w:val="true"/>
        <w:bidi w:val="0"/>
        <w:jc w:val="start"/>
        <w:rPr>
          <w:b/>
          <w:sz w:val="36"/>
        </w:rPr>
      </w:pPr>
      <w:r>
        <w:rPr>
          <w:b/>
          <w:sz w:val="36"/>
        </w:rPr>
      </w:r>
    </w:p>
    <w:p>
      <w:pPr>
        <w:pStyle w:val="Normal"/>
        <w:keepNext w:val="true"/>
        <w:bidi w:val="0"/>
        <w:jc w:val="start"/>
        <w:rPr>
          <w:b/>
          <w:sz w:val="36"/>
        </w:rPr>
      </w:pPr>
      <w:r>
        <w:rPr>
          <w:b/>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bidi w:val="0"/>
        <w:jc w:val="start"/>
        <w:rPr>
          <w:sz w:val="36"/>
        </w:rPr>
      </w:pPr>
      <w:r>
        <w:fldChar w:fldCharType="begin"/>
      </w:r>
      <w:r>
        <w:rPr/>
        <w:instrText xml:space="preserve"> TC "ARTICLE VIIASSIGNMENTS"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7.01</w:instrText>
        <w:tab/>
        <w:instrText xml:space="preserve">Assignment by Asset LLC, the Transferor, the Sponsor, or the Trust " \l 1 </w:instrText>
      </w:r>
      <w:r>
        <w:rPr>
          <w:sz w:val="36"/>
        </w:rPr>
        <w:fldChar w:fldCharType="separate"/>
      </w:r>
      <w:r>
        <w:rPr>
          <w:sz w:val="36"/>
        </w:rPr>
      </w:r>
      <w:r>
        <w:rPr>
          <w:sz w:val="36"/>
        </w:rPr>
        <w:fldChar w:fldCharType="end"/>
      </w:r>
      <w:r>
        <w:rPr>
          <w:sz w:val="36"/>
        </w:rPr>
        <w:t xml:space="preserve">.    The Sponsor covenants that, except as expressly contemplated herein or in the Asset LLC Agreement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sz w:val="36"/>
          <w:u w:val="single"/>
        </w:rPr>
        <w:t>provided</w:t>
      </w:r>
      <w:r>
        <w:rPr>
          <w:sz w:val="36"/>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Transfer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VIIIINDEMNITIES"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8.01</w:instrText>
        <w:tab/>
        <w:instrText xml:space="preserve">Indemnities " \l 1 </w:instrText>
      </w:r>
      <w:r>
        <w:rPr>
          <w:sz w:val="36"/>
        </w:rPr>
        <w:fldChar w:fldCharType="separate"/>
      </w:r>
      <w:r>
        <w:rPr>
          <w:sz w:val="36"/>
        </w:rPr>
      </w:r>
      <w:r>
        <w:rPr>
          <w:sz w:val="36"/>
        </w:rPr>
        <w:fldChar w:fldCharType="end"/>
      </w:r>
      <w:r>
        <w:rPr>
          <w:sz w:val="36"/>
        </w:rPr>
        <w: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General Indemnity</w:t>
      </w:r>
      <w:r>
        <w:rPr>
          <w:sz w:val="36"/>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w:t>
      </w:r>
      <w:r>
        <w:rPr>
          <w:b/>
          <w:i/>
          <w:sz w:val="36"/>
        </w:rPr>
        <w:t>[, the Permitted Swap Party]</w:t>
      </w:r>
      <w:r>
        <w:rPr>
          <w:sz w:val="36"/>
        </w:rPr>
        <w:t xml:space="preserve">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sz w:val="36"/>
          <w:u w:val="single"/>
        </w:rPr>
        <w:t>Operative Actions</w:t>
      </w:r>
      <w:r>
        <w:rPr>
          <w:sz w:val="36"/>
        </w:rPr>
        <w:t xml:space="preserve">”). </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(b)</w:t>
        <w:tab/>
      </w:r>
      <w:r>
        <w:rPr>
          <w:b/>
          <w:sz w:val="36"/>
          <w:u w:val="single"/>
        </w:rPr>
        <w:t>LIMITATION</w:t>
      </w:r>
      <w:r>
        <w:rPr>
          <w:b/>
          <w:sz w:val="36"/>
        </w:rPr>
        <w:t xml:space="preserve">.    THE INDEMNITIES UNDER THIS SECTION 8.01 SHALL APPLY WHETHER OR NOT ANY OF THE MATTERS SUBJECT TO THE INDEMNITY ARISE FROM THE SOLE OR CONCURRENT NEGLIGENCE OF AN INDEMNIFIED PARTY; </w:t>
      </w:r>
      <w:r>
        <w:rPr>
          <w:b/>
          <w:sz w:val="36"/>
          <w:u w:val="single"/>
        </w:rPr>
        <w:t>PROVIDED</w:t>
      </w:r>
      <w:r>
        <w:rPr>
          <w:b/>
          <w:sz w:val="36"/>
        </w:rPr>
        <w:t xml:space="preserve"> THAT THE SPONSOR SHALL NOT BE LIABLE FOR ANY OF THE MATTERS SUBJECT TO THE FOREGOING INDEMNITY TO THE EXTENT SUCH MATTERS HAVE ARISEN FROM SUCH INDEMNIFIED PARTY’S FRAUD, GROSS NEGLIGENCE, OR WILLFUL MISCONDUCT.</w:t>
      </w:r>
      <w:r>
        <w:rPr>
          <w:sz w:val="36"/>
        </w:rPr>
        <w:t xml:space="preserve">    Notwithstanding the provisions of this Section 8.01 to the contrary, the Sponsor shall </w:t>
      </w:r>
      <w:r>
        <w:rPr>
          <w:sz w:val="36"/>
          <w:u w:val="single"/>
        </w:rPr>
        <w:t>not</w:t>
      </w:r>
      <w:r>
        <w:rPr>
          <w:sz w:val="36"/>
        </w:rPr>
        <w:t xml:space="preserve"> be required to pay, protect, indemnify, or hold harmless:</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 xml:space="preserve">any Indemnified Party (other than the Trust Institution) for Losses arising from disputes among the Trust, the Lenders or the Series Certificate Holder that do not arise from the fault of the Sponsor, Asset LLC, the Transferor, </w:t>
      </w:r>
      <w:r>
        <w:rPr>
          <w:b/>
          <w:i/>
          <w:sz w:val="36"/>
        </w:rPr>
        <w:t>[the Permitted Swap Party,]</w:t>
      </w:r>
      <w:r>
        <w:rPr>
          <w:sz w:val="36"/>
        </w:rPr>
        <w:t>    Enron or their respective Affiliates; or</w:t>
      </w:r>
    </w:p>
    <w:p>
      <w:pPr>
        <w:pStyle w:val="Normal"/>
        <w:bidi w:val="0"/>
        <w:jc w:val="start"/>
        <w:rPr>
          <w:sz w:val="36"/>
        </w:rPr>
      </w:pPr>
      <w:r>
        <w:rPr>
          <w:sz w:val="36"/>
        </w:rPr>
      </w:r>
    </w:p>
    <w:p>
      <w:pPr>
        <w:pStyle w:val="Normal"/>
        <w:bidi w:val="0"/>
        <w:ind w:hanging="0" w:start="720"/>
        <w:jc w:val="start"/>
        <w:rPr>
          <w:sz w:val="36"/>
        </w:rPr>
      </w:pPr>
      <w:r>
        <w:rPr>
          <w:sz w:val="36"/>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w:t>
      </w:r>
      <w:r>
        <w:rPr>
          <w:b/>
          <w:i/>
          <w:sz w:val="36"/>
        </w:rPr>
        <w:t>[, the Permitted Swap Party]</w:t>
      </w:r>
      <w:r>
        <w:rPr>
          <w:sz w:val="36"/>
        </w:rPr>
        <w:t xml:space="preserve"> or Enron or their respective Affiliates of any representation or warranty or covenant set forth in any Operative Document); or</w:t>
      </w:r>
    </w:p>
    <w:p>
      <w:pPr>
        <w:pStyle w:val="Normal"/>
        <w:bidi w:val="0"/>
        <w:jc w:val="start"/>
        <w:rPr>
          <w:sz w:val="36"/>
        </w:rPr>
      </w:pPr>
      <w:r>
        <w:rPr>
          <w:sz w:val="36"/>
        </w:rPr>
      </w:r>
    </w:p>
    <w:p>
      <w:pPr>
        <w:pStyle w:val="Normal"/>
        <w:bidi w:val="0"/>
        <w:ind w:hanging="720" w:start="720"/>
        <w:jc w:val="start"/>
        <w:rPr>
          <w:sz w:val="36"/>
        </w:rPr>
      </w:pPr>
      <w:r>
        <w:rPr>
          <w:sz w:val="36"/>
        </w:rPr>
        <w:tab/>
        <w:tab/>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bidi w:val="0"/>
        <w:jc w:val="start"/>
        <w:rPr>
          <w:sz w:val="36"/>
        </w:rPr>
      </w:pPr>
      <w:r>
        <w:rPr>
          <w:sz w:val="36"/>
        </w:rPr>
      </w:r>
    </w:p>
    <w:p>
      <w:pPr>
        <w:pStyle w:val="Normal"/>
        <w:bidi w:val="0"/>
        <w:ind w:hanging="720" w:start="720"/>
        <w:jc w:val="start"/>
        <w:rPr>
          <w:sz w:val="36"/>
        </w:rPr>
      </w:pPr>
      <w:r>
        <w:rPr>
          <w:sz w:val="36"/>
        </w:rPr>
        <w:tab/>
        <w:tab/>
        <w:t>(iv)</w:t>
        <w:tab/>
        <w:t xml:space="preserve">any Indemnified Party for Losses arising from any Taxes, other than Relevant </w:t>
        <w:tab/>
        <w:t>Taxes and Other Taxes each as defined in the Facility Agreement; or</w:t>
      </w:r>
    </w:p>
    <w:p>
      <w:pPr>
        <w:pStyle w:val="Normal"/>
        <w:bidi w:val="0"/>
        <w:jc w:val="start"/>
        <w:rPr>
          <w:sz w:val="36"/>
        </w:rPr>
      </w:pPr>
      <w:r>
        <w:rPr>
          <w:sz w:val="36"/>
        </w:rPr>
      </w:r>
    </w:p>
    <w:p>
      <w:pPr>
        <w:pStyle w:val="Normal"/>
        <w:bidi w:val="0"/>
        <w:ind w:hanging="720" w:start="720"/>
        <w:jc w:val="start"/>
        <w:rPr>
          <w:sz w:val="36"/>
        </w:rPr>
      </w:pPr>
      <w:r>
        <w:rPr>
          <w:sz w:val="36"/>
        </w:rPr>
        <w:tab/>
        <w:tab/>
        <w:t>(v)</w:t>
        <w:tab/>
        <w:t xml:space="preserve">the Trustee, for Losses arising or resulting from any matter described in the </w:t>
        <w:tab/>
        <w:t>third sentence of Section 7.01 of the Trust Agreement; or</w:t>
      </w:r>
    </w:p>
    <w:p>
      <w:pPr>
        <w:pStyle w:val="Normal"/>
        <w:bidi w:val="0"/>
        <w:jc w:val="start"/>
        <w:rPr>
          <w:sz w:val="36"/>
        </w:rPr>
      </w:pPr>
      <w:r>
        <w:rPr>
          <w:sz w:val="36"/>
        </w:rPr>
      </w:r>
    </w:p>
    <w:p>
      <w:pPr>
        <w:pStyle w:val="Normal"/>
        <w:bidi w:val="0"/>
        <w:ind w:hanging="720" w:start="720"/>
        <w:jc w:val="start"/>
        <w:rPr>
          <w:sz w:val="36"/>
        </w:rPr>
      </w:pPr>
      <w:r>
        <w:rPr>
          <w:sz w:val="36"/>
        </w:rPr>
        <w:tab/>
        <w:tab/>
        <w:t>(vi)</w:t>
        <w:tab/>
        <w:t xml:space="preserve">any Indemnified Party for Losses to the extent the Loss would be excluded </w:t>
        <w:tab/>
        <w:t xml:space="preserve">from indemnification under the last sentence of Section 5.02(d) of the Trust Agreement. </w:t>
      </w:r>
    </w:p>
    <w:p>
      <w:pPr>
        <w:pStyle w:val="Normal"/>
        <w:keepNext w:val="true"/>
        <w:bidi w:val="0"/>
        <w:jc w:val="start"/>
        <w:rPr>
          <w:sz w:val="36"/>
        </w:rPr>
      </w:pPr>
      <w:r>
        <w:rPr>
          <w:sz w:val="36"/>
        </w:rPr>
      </w:r>
    </w:p>
    <w:p>
      <w:pPr>
        <w:pStyle w:val="Normal"/>
        <w:keepNext w:val="true"/>
        <w:bidi w:val="0"/>
        <w:jc w:val="start"/>
        <w:rPr>
          <w:sz w:val="36"/>
        </w:rPr>
      </w:pPr>
      <w:r>
        <w:fldChar w:fldCharType="begin"/>
      </w:r>
      <w:r>
        <w:rPr>
          <w:sz w:val="36"/>
        </w:rPr>
        <w:instrText xml:space="preserve"> TC "</w:instrText>
        <w:tab/>
        <w:instrText xml:space="preserve">Section 8.02</w:instrText>
        <w:tab/>
        <w:instrText xml:space="preserve">Indemnity Procedure " \l 1 </w:instrText>
      </w:r>
      <w:r>
        <w:rPr>
          <w:sz w:val="36"/>
        </w:rPr>
        <w:fldChar w:fldCharType="separate"/>
      </w:r>
      <w:r>
        <w:rPr>
          <w:sz w:val="36"/>
        </w:rPr>
      </w:r>
      <w:r>
        <w:rPr>
          <w:sz w:val="36"/>
        </w:rPr>
        <w:fldChar w:fldCharType="end"/>
      </w:r>
      <w:r>
        <w:rPr>
          <w:sz w:val="36"/>
        </w:rPr>
        <w:t>.</w:t>
      </w:r>
    </w:p>
    <w:p>
      <w:pPr>
        <w:pStyle w:val="Normal"/>
        <w:keepNext w:val="true"/>
        <w:bidi w:val="0"/>
        <w:jc w:val="start"/>
        <w:rPr>
          <w:sz w:val="36"/>
        </w:rPr>
      </w:pPr>
      <w:r>
        <w:rPr>
          <w:sz w:val="36"/>
        </w:rPr>
      </w:r>
    </w:p>
    <w:p>
      <w:pPr>
        <w:pStyle w:val="Normal"/>
        <w:bidi w:val="0"/>
        <w:jc w:val="start"/>
        <w:rPr>
          <w:sz w:val="36"/>
        </w:rPr>
      </w:pPr>
      <w:r>
        <w:rPr>
          <w:sz w:val="36"/>
        </w:rPr>
        <w:tab/>
        <w:t>(a)</w:t>
        <w:tab/>
      </w:r>
      <w:r>
        <w:rPr>
          <w:sz w:val="36"/>
          <w:u w:val="single"/>
        </w:rPr>
        <w:t>Defense of Operative Actions</w:t>
      </w:r>
      <w:r>
        <w:rPr>
          <w:sz w:val="36"/>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“Losses” for the purpose of Section 8.01) in any Operative Action and to consult with the Sponsor regarding the defense thereof; </w:t>
      </w:r>
      <w:r>
        <w:rPr>
          <w:sz w:val="36"/>
          <w:u w:val="single"/>
        </w:rPr>
        <w:t>provided</w:t>
      </w:r>
      <w:r>
        <w:rPr>
          <w:sz w:val="36"/>
        </w:rPr>
        <w:t xml:space="preserve"> </w:t>
      </w:r>
      <w:r>
        <w:rPr>
          <w:sz w:val="36"/>
          <w:u w:val="single"/>
        </w:rPr>
        <w:t>that</w:t>
      </w:r>
      <w:r>
        <w:rPr>
          <w:sz w:val="36"/>
        </w:rPr>
        <w:t xml:space="preserve">,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Party’s consent; </w:t>
      </w:r>
      <w:r>
        <w:rPr>
          <w:sz w:val="36"/>
          <w:u w:val="single"/>
        </w:rPr>
        <w:t>provided</w:t>
      </w:r>
      <w:r>
        <w:rPr>
          <w:sz w:val="36"/>
        </w:rPr>
        <w:t xml:space="preserve"> </w:t>
      </w:r>
      <w:r>
        <w:rPr>
          <w:sz w:val="36"/>
          <w:u w:val="single"/>
        </w:rPr>
        <w:t>that</w:t>
      </w:r>
      <w:r>
        <w:rPr>
          <w:sz w:val="36"/>
        </w:rPr>
        <w:t xml:space="preserve"> such consent shall not be necessary if the settlement results in an unconditional release of the Indemnified Party without the admission by the Indemnified Party of guilt, complicity, or culpability.</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Reimbursement</w:t>
      </w:r>
      <w:r>
        <w:rPr>
          <w:sz w:val="36"/>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sz w:val="36"/>
          <w:u w:val="single"/>
        </w:rPr>
        <w:t>provided</w:t>
      </w:r>
      <w:r>
        <w:rPr>
          <w:sz w:val="36"/>
        </w:rPr>
        <w:t xml:space="preserve"> </w:t>
      </w:r>
      <w:r>
        <w:rPr>
          <w:sz w:val="36"/>
          <w:u w:val="single"/>
        </w:rPr>
        <w:t>that</w:t>
      </w:r>
      <w:r>
        <w:rPr>
          <w:sz w:val="36"/>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8.03</w:instrText>
        <w:tab/>
        <w:instrText xml:space="preserve">Survival " \l 1 </w:instrText>
      </w:r>
      <w:r>
        <w:rPr>
          <w:sz w:val="36"/>
        </w:rPr>
        <w:fldChar w:fldCharType="separate"/>
      </w:r>
      <w:r>
        <w:rPr>
          <w:sz w:val="36"/>
        </w:rPr>
      </w:r>
      <w:r>
        <w:rPr>
          <w:sz w:val="36"/>
        </w:rPr>
        <w:fldChar w:fldCharType="end"/>
      </w:r>
      <w:r>
        <w:rPr>
          <w:sz w:val="36"/>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bidi w:val="0"/>
        <w:jc w:val="start"/>
        <w:rPr>
          <w:sz w:val="36"/>
        </w:rPr>
      </w:pPr>
      <w:r>
        <w:rPr>
          <w:sz w:val="36"/>
        </w:rPr>
      </w:r>
    </w:p>
    <w:p>
      <w:pPr>
        <w:pStyle w:val="Normal"/>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start"/>
        <w:rPr>
          <w:sz w:val="36"/>
        </w:rPr>
      </w:pPr>
      <w:r>
        <w:fldChar w:fldCharType="begin"/>
      </w:r>
      <w:r>
        <w:rPr/>
        <w:instrText xml:space="preserve"> TC "ARTICLE IXMISCELLANEOUS" \l 1 </w:instrText>
      </w:r>
      <w:r>
        <w:rPr/>
        <w:fldChar w:fldCharType="separate"/>
      </w:r>
      <w:r>
        <w:rPr/>
      </w:r>
      <w:r>
        <w:rPr/>
        <w:fldChar w:fldCharType="end"/>
      </w:r>
    </w:p>
    <w:p>
      <w:pPr>
        <w:pStyle w:val="Normal"/>
        <w:bidi w:val="0"/>
        <w:jc w:val="start"/>
        <w:rPr>
          <w:sz w:val="36"/>
        </w:rPr>
      </w:pPr>
      <w:r>
        <w:rPr>
          <w:sz w:val="36"/>
        </w:rPr>
      </w:r>
    </w:p>
    <w:p>
      <w:pPr>
        <w:pStyle w:val="Normal"/>
        <w:bidi w:val="0"/>
        <w:jc w:val="start"/>
        <w:rPr>
          <w:b/>
          <w:sz w:val="36"/>
          <w:u w:val="double"/>
          <w:ins w:id="25" w:author=""/>
        </w:rPr>
      </w:pPr>
      <w:r>
        <w:fldChar w:fldCharType="begin"/>
      </w:r>
      <w:r>
        <w:rPr>
          <w:sz w:val="36"/>
        </w:rPr>
        <w:instrText xml:space="preserve"> TC "</w:instrText>
        <w:tab/>
        <w:instrText xml:space="preserve">Section 9.01</w:instrText>
        <w:tab/>
        <w:instrText xml:space="preserve">Incorporation and Intention of Parties " \l 1 </w:instrText>
      </w:r>
      <w:r>
        <w:rPr>
          <w:sz w:val="36"/>
        </w:rPr>
        <w:fldChar w:fldCharType="separate"/>
      </w:r>
      <w:bookmarkStart w:id="12" w:name="Redline_32_7"/>
      <w:bookmarkEnd w:id="12"/>
      <w:r>
        <w:rPr>
          <w:sz w:val="36"/>
        </w:rPr>
      </w:r>
      <w:r>
        <w:rPr>
          <w:sz w:val="36"/>
        </w:rPr>
        <w:fldChar w:fldCharType="end"/>
      </w:r>
      <w:ins w:id="24" w:author="">
        <w:r>
          <w:rPr>
            <w:b/>
            <w:sz w:val="36"/>
            <w:u w:val="double"/>
          </w:rPr>
          <w:t xml:space="preserve">.    </w:t>
        </w:r>
      </w:ins>
    </w:p>
    <w:p>
      <w:pPr>
        <w:pStyle w:val="Normal"/>
        <w:bidi w:val="0"/>
        <w:jc w:val="start"/>
        <w:rPr>
          <w:b/>
          <w:sz w:val="36"/>
          <w:u w:val="double"/>
          <w:ins w:id="27" w:author=""/>
        </w:rPr>
      </w:pPr>
      <w:ins w:id="26" w:author="">
        <w:r>
          <w:rPr>
            <w:b/>
            <w:sz w:val="36"/>
            <w:u w:val="double"/>
          </w:rPr>
        </w:r>
      </w:ins>
    </w:p>
    <w:p>
      <w:pPr>
        <w:pStyle w:val="Normal"/>
        <w:bidi w:val="0"/>
        <w:jc w:val="start"/>
        <w:rPr>
          <w:sz w:val="36"/>
        </w:rPr>
      </w:pPr>
      <w:ins w:id="28" w:author="">
        <w:r>
          <w:rPr>
            <w:b/>
            <w:sz w:val="36"/>
            <w:u w:val="double"/>
          </w:rPr>
          <w:tab/>
          <w:t>(a)</w:t>
        </w:r>
      </w:ins>
      <w:r>
        <w:rPr>
          <w:sz w:val="36"/>
        </w:rPr>
        <w:tab/>
      </w:r>
      <w:r>
        <w:rPr>
          <w:sz w:val="36"/>
          <w:u w:val="single"/>
        </w:rPr>
        <w:t>Incorporation</w:t>
      </w:r>
      <w:r>
        <w:rPr>
          <w:sz w:val="36"/>
        </w:rPr>
        <w:t>.    All schedules attached to this Transfer and Auction Agreement are incorporated herein by this reference.</w:t>
      </w:r>
    </w:p>
    <w:p>
      <w:pPr>
        <w:pStyle w:val="Normal"/>
        <w:bidi w:val="0"/>
        <w:jc w:val="start"/>
        <w:rPr>
          <w:sz w:val="36"/>
        </w:rPr>
      </w:pPr>
      <w:r>
        <w:rPr>
          <w:sz w:val="36"/>
        </w:rPr>
      </w:r>
    </w:p>
    <w:p>
      <w:pPr>
        <w:pStyle w:val="Normal"/>
        <w:bidi w:val="0"/>
        <w:jc w:val="start"/>
        <w:rPr>
          <w:sz w:val="36"/>
        </w:rPr>
      </w:pPr>
      <w:r>
        <w:rPr>
          <w:sz w:val="36"/>
        </w:rPr>
        <w:tab/>
      </w:r>
      <w:ins w:id="29" w:author="">
        <w:r>
          <w:rPr>
            <w:b/>
            <w:sz w:val="36"/>
            <w:u w:val="double"/>
          </w:rPr>
          <w:t>(b)</w:t>
          <w:tab/>
          <w:t>Intention of Parties.    It is the intention of the parties that the conveyance of the Asset LLC Interest from the Transferor to the Trust pursuant to the provisions hereof be treated as an assignment for all purposes (other than for tax purposes).    The parties hereto agree to take no action inconsistent with such assignment treatment.</w:t>
        </w:r>
      </w:ins>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9.02</w:instrText>
        <w:tab/>
        <w:instrText xml:space="preserve">Characterization for Tax Purposes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Financing Treatment</w:t>
      </w:r>
      <w:r>
        <w:rPr>
          <w:sz w:val="36"/>
        </w:rPr>
        <w:t>.    It is the intention of the parties hereto, for purposes of federal, state, and local income and franchise taxes and any other tax imposed on or measured by income, that this Transfer and Auction Agreement and the transactions contemplated hereby and by the other Operative Documents have been structured for the purpose of securing financing with the Asset LLC Interest, that the Trust constitutes a security device for the repayment of amounts due to the Lenders and Series Certificate Holder, that    the Tranche with respect to the Series and the Series Certificate constitute indebtedness of the Sponsor of the Series and that the Asset LLC Interest is pledged to secure the payment of such indebtedness.</w:t>
      </w:r>
      <w:ins w:id="30" w:author="">
        <w:r>
          <w:rPr>
            <w:b/>
            <w:sz w:val="36"/>
            <w:u w:val="double"/>
          </w:rPr>
          <w:t>    The parties recognize that the manner in which they have agreed to characterize the transactions for such tax purposes may be inconsistent with the manner in which the transactions are characterized for account, regulatory or other purposes.</w:t>
        </w:r>
      </w:ins>
    </w:p>
    <w:p>
      <w:pPr>
        <w:pStyle w:val="Normal"/>
        <w:bidi w:val="0"/>
        <w:jc w:val="start"/>
        <w:rPr>
          <w:sz w:val="36"/>
        </w:rPr>
      </w:pPr>
      <w:r>
        <w:rPr>
          <w:sz w:val="36"/>
        </w:rPr>
      </w:r>
    </w:p>
    <w:p>
      <w:pPr>
        <w:pStyle w:val="Normal"/>
        <w:bidi w:val="0"/>
        <w:jc w:val="start"/>
        <w:rPr>
          <w:sz w:val="36"/>
        </w:rPr>
      </w:pPr>
      <w:r>
        <w:rPr>
          <w:sz w:val="36"/>
        </w:rPr>
        <w:tab/>
        <w:t>(b)</w:t>
        <w:tab/>
      </w:r>
      <w:r>
        <w:rPr>
          <w:sz w:val="36"/>
          <w:u w:val="single"/>
        </w:rPr>
        <w:t>Reporting</w:t>
      </w:r>
      <w:r>
        <w:rPr>
          <w:sz w:val="36"/>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ins w:id="31" w:author="">
        <w:r>
          <w:rPr>
            <w:b/>
            <w:sz w:val="36"/>
            <w:u w:val="double"/>
          </w:rPr>
          <w:t xml:space="preserve">, and if any such filing, maintenance, action, or execution requested by the Transferor or the Sponsor would result in </w:t>
        </w:r>
      </w:ins>
      <w:bookmarkStart w:id="13" w:name="Redline_32_8"/>
      <w:bookmarkEnd w:id="13"/>
      <w:ins w:id="32" w:author="">
        <w:r>
          <w:rPr>
            <w:b/>
            <w:sz w:val="36"/>
            <w:u w:val="double"/>
          </w:rPr>
          <w:t>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ins>
      <w:r>
        <w:rPr>
          <w:sz w:val="36"/>
        </w:rPr>
        <w:t>.</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No Representation</w:t>
      </w:r>
      <w:r>
        <w:rPr>
          <w:sz w:val="36"/>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9.03</w:instrText>
        <w:tab/>
        <w:instrText xml:space="preserve">Further Assurances " \l 1 </w:instrText>
      </w:r>
      <w:r>
        <w:rPr>
          <w:sz w:val="36"/>
        </w:rPr>
        <w:fldChar w:fldCharType="separate"/>
      </w:r>
      <w:r>
        <w:rPr>
          <w:sz w:val="36"/>
        </w:rPr>
      </w:r>
      <w:r>
        <w:rPr>
          <w:sz w:val="36"/>
        </w:rPr>
        <w:fldChar w:fldCharType="end"/>
      </w:r>
      <w:r>
        <w:rPr>
          <w:sz w:val="36"/>
        </w:rPr>
        <w:t>.    The Transferor and the Sponsor shall, at the Sponsor’s expense, execute and deliver such further instruments and do such further acts as may be necessary or proper to carry out more effectively the purposes of the Operative Documents and the transactions contemplated thereby.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9.04</w:instrText>
        <w:tab/>
        <w:instrText xml:space="preserve">Accounting Terms and Determinations " \l 1 </w:instrText>
      </w:r>
      <w:r>
        <w:rPr>
          <w:sz w:val="36"/>
        </w:rPr>
        <w:fldChar w:fldCharType="separate"/>
      </w:r>
      <w:r>
        <w:rPr>
          <w:sz w:val="36"/>
        </w:rPr>
      </w:r>
      <w:r>
        <w:rPr>
          <w:sz w:val="36"/>
        </w:rPr>
        <w:fldChar w:fldCharType="end"/>
      </w:r>
      <w:r>
        <w:rPr>
          <w:sz w:val="36"/>
        </w:rPr>
        <w:t>.    Except as otherwise expressly provided in this Transfer and Auction Agreement, all accounting terms used in this Transfer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9.05</w:instrText>
        <w:tab/>
        <w:instrText xml:space="preserve">Survival " \l 1 </w:instrText>
      </w:r>
      <w:r>
        <w:rPr>
          <w:sz w:val="36"/>
        </w:rPr>
        <w:fldChar w:fldCharType="separate"/>
      </w:r>
      <w:r>
        <w:rPr>
          <w:sz w:val="36"/>
        </w:rPr>
      </w:r>
      <w:r>
        <w:rPr>
          <w:sz w:val="36"/>
        </w:rPr>
        <w:fldChar w:fldCharType="end"/>
      </w:r>
      <w:r>
        <w:rPr>
          <w:sz w:val="36"/>
        </w:rPr>
        <w:t>.    Except as otherwise expressly provided in this Transfer and Auction Agreement, the obligations of the Transferor and the Sponsor hereunder shall terminate on the Final Retirement Date.    However, the obligations of the parties under Sections 8.01, 8.02 and 9.02 of this Transfer and Auction Agreement shall survive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9.06</w:instrText>
        <w:tab/>
        <w:instrText xml:space="preserve">Notices " \l 1 </w:instrText>
      </w:r>
      <w:r>
        <w:rPr>
          <w:sz w:val="36"/>
        </w:rPr>
        <w:fldChar w:fldCharType="separate"/>
      </w:r>
      <w:r>
        <w:rPr>
          <w:sz w:val="36"/>
        </w:rPr>
      </w:r>
      <w:r>
        <w:rPr>
          <w:sz w:val="36"/>
        </w:rPr>
        <w:fldChar w:fldCharType="end"/>
      </w:r>
      <w:r>
        <w:rPr>
          <w:sz w:val="36"/>
        </w:rPr>
        <w:t xml:space="preserve">. Except as otherwise expressly provided in this Transfer and Auction Agreement, all notices, consents, directions, approvals, instructions, requests, and other communications given to any party under this Transfer and Auction Agreement shall be in writing to such party at the address set forth in </w:t>
      </w:r>
      <w:r>
        <w:rPr>
          <w:sz w:val="36"/>
          <w:u w:val="single"/>
        </w:rPr>
        <w:t>Schedule I</w:t>
      </w:r>
      <w:r>
        <w:rPr>
          <w:sz w:val="36"/>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9.07</w:instrText>
        <w:tab/>
        <w:instrText xml:space="preserve">Severability " \l 1 </w:instrText>
      </w:r>
      <w:r>
        <w:rPr>
          <w:sz w:val="36"/>
        </w:rPr>
        <w:fldChar w:fldCharType="separate"/>
      </w:r>
      <w:r>
        <w:rPr>
          <w:sz w:val="36"/>
        </w:rPr>
      </w:r>
      <w:r>
        <w:rPr>
          <w:sz w:val="36"/>
        </w:rPr>
        <w:fldChar w:fldCharType="end"/>
      </w:r>
      <w:r>
        <w:rPr>
          <w:sz w:val="36"/>
        </w:rPr>
        <w:t>.    Each provision of this Transfer and Auction Agreement shall be separate and independent, and the breach of such provision by one party shall not relieve the other parties from their obligations to perform each and every covenant to be performed by such other parties under this Transfer and Auction Agreement.    If any provision of this Transfer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9.08</w:instrText>
        <w:tab/>
        <w:instrText xml:space="preserve">Amendments, Etc. " \l 1 </w:instrText>
      </w:r>
      <w:r>
        <w:rPr>
          <w:sz w:val="36"/>
        </w:rPr>
        <w:fldChar w:fldCharType="separate"/>
      </w:r>
      <w:r>
        <w:rPr>
          <w:sz w:val="36"/>
        </w:rPr>
      </w:r>
      <w:r>
        <w:rPr>
          <w:sz w:val="36"/>
        </w:rPr>
        <w:fldChar w:fldCharType="end"/>
      </w:r>
      <w:r>
        <w:rPr>
          <w:sz w:val="36"/>
        </w:rPr>
        <w:t xml:space="preserve">    </w:t>
      </w:r>
      <w:r>
        <w:rPr>
          <w:sz w:val="36"/>
        </w:rPr>
        <w:t>No amendment or waiver of any provision of this Transfer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Transfer and Auction Agreement to cure any ambiguity or to cure, correct or supplement any defective or inconsistent provision of this Transfer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9.09</w:instrText>
        <w:tab/>
        <w:instrText xml:space="preserve">Headings " \l 1 </w:instrText>
      </w:r>
      <w:r>
        <w:rPr>
          <w:sz w:val="36"/>
        </w:rPr>
        <w:fldChar w:fldCharType="separate"/>
      </w:r>
      <w:r>
        <w:rPr>
          <w:sz w:val="36"/>
        </w:rPr>
      </w:r>
      <w:r>
        <w:rPr>
          <w:sz w:val="36"/>
        </w:rPr>
        <w:fldChar w:fldCharType="end"/>
      </w:r>
      <w:r>
        <w:rPr>
          <w:sz w:val="36"/>
        </w:rPr>
        <w:t>.    The table of contents and headings of the Articles, Sections, and subsections are for convenience only and shall not affect the meaning of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9.10</w:instrText>
        <w:tab/>
        <w:instrText xml:space="preserve">Counterparts " \l 1 </w:instrText>
      </w:r>
      <w:r>
        <w:rPr>
          <w:sz w:val="36"/>
        </w:rPr>
        <w:fldChar w:fldCharType="separate"/>
      </w:r>
      <w:r>
        <w:rPr>
          <w:sz w:val="36"/>
        </w:rPr>
      </w:r>
      <w:r>
        <w:rPr>
          <w:sz w:val="36"/>
        </w:rPr>
        <w:fldChar w:fldCharType="end"/>
      </w:r>
      <w:r>
        <w:rPr>
          <w:sz w:val="36"/>
        </w:rPr>
        <w:t>.    The parties may sign this Transfer and Auction Agreement in any number of counterparts and on separate counterparts, each of which shall be an original but all of which together shall constitute one and the same instrument.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9.11</w:instrText>
        <w:tab/>
        <w:instrText xml:space="preserve">Time " \l 1 </w:instrText>
      </w:r>
      <w:r>
        <w:rPr>
          <w:sz w:val="36"/>
        </w:rPr>
        <w:fldChar w:fldCharType="separate"/>
      </w:r>
      <w:r>
        <w:rPr>
          <w:sz w:val="36"/>
        </w:rPr>
      </w:r>
      <w:r>
        <w:rPr>
          <w:sz w:val="36"/>
        </w:rPr>
        <w:fldChar w:fldCharType="end"/>
      </w:r>
      <w:r>
        <w:rPr>
          <w:sz w:val="36"/>
        </w:rPr>
        <w:t xml:space="preserve">.    </w:t>
      </w:r>
      <w:r>
        <w:rPr>
          <w:b/>
          <w:sz w:val="36"/>
        </w:rPr>
        <w:t>TIME IS OF THE ESSENCE IN THIS TRANSFER AND AUCTION AGREEMENT, AND THE TERMS HEREIN SHALL BE SO CONSTRUED</w:t>
      </w:r>
      <w:r>
        <w:rPr>
          <w:sz w:val="36"/>
        </w:rPr>
        <w: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9.12</w:instrText>
        <w:tab/>
        <w:instrText xml:space="preserve">The Trustee " \l 1 </w:instrText>
      </w:r>
      <w:r>
        <w:rPr>
          <w:sz w:val="36"/>
        </w:rPr>
        <w:fldChar w:fldCharType="separate"/>
      </w:r>
      <w:r>
        <w:rPr>
          <w:sz w:val="36"/>
        </w:rPr>
      </w:r>
      <w:r>
        <w:rPr>
          <w:sz w:val="36"/>
        </w:rPr>
        <w:fldChar w:fldCharType="end"/>
      </w:r>
      <w:r>
        <w:rPr>
          <w:sz w:val="36"/>
        </w:rPr>
        <w:t>.    Except for the Trust Institution’s own gross negligence and willful misconduct and as otherwise expressly provided in this Transfer and Auction Agreement, it is expressly understood and agreed by the parties to this Transfer and Auction Agreement that (a) this Transfer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Transfer and Auction Agreement shall be construed as creating any liability on the Trust Institution, individually or personally, to perform any obligation of the Trustee either expressed or implied contained in this Transfer and Auction Agreement, all such liability, if any, being expressly waived by the parties to this Transfer and Auction Agreement and by any Person lawfully claiming by, through or under the parties to this Transfer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9.13</w:instrText>
        <w:tab/>
        <w:instrText xml:space="preserve">Interpretation and Reliance " \l 1 </w:instrText>
      </w:r>
      <w:r>
        <w:rPr>
          <w:sz w:val="36"/>
        </w:rPr>
        <w:fldChar w:fldCharType="separate"/>
      </w:r>
      <w:r>
        <w:rPr>
          <w:sz w:val="36"/>
        </w:rPr>
      </w:r>
      <w:r>
        <w:rPr>
          <w:sz w:val="36"/>
        </w:rPr>
        <w:fldChar w:fldCharType="end"/>
      </w:r>
      <w:r>
        <w:rPr>
          <w:sz w:val="36"/>
        </w:rPr>
        <w:t>.    No presumption shall apply in favor of any party to this Transfer and Auction Agreement in the interpretation of this Transfer and Auction Agreement or in the resolution of any ambiguity of any provision thereof.</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9.14</w:instrText>
        <w:tab/>
        <w:instrText xml:space="preserve">Construction of Agreement:  Particular Words; Successors; Amendments " \l 1 </w:instrText>
      </w:r>
      <w:r>
        <w:rPr>
          <w:sz w:val="36"/>
        </w:rPr>
        <w:fldChar w:fldCharType="separate"/>
      </w:r>
      <w:r>
        <w:rPr>
          <w:sz w:val="36"/>
        </w:rPr>
      </w:r>
      <w:r>
        <w:rPr>
          <w:sz w:val="36"/>
        </w:rPr>
        <w:fldChar w:fldCharType="end"/>
      </w:r>
      <w:r>
        <w:rPr>
          <w:sz w:val="36"/>
        </w:rPr>
        <w:t xml:space="preserve">.    Unless the context of this Transfer and Auction Agreement clearly requires otherwise, (a) pronouns, wherever used in this Transfer and Auction Agreement and of whatever gender, shall include natural persons, corporations, and associations of every kind and character; (b) the gender of all words used in this Transfer and Auction Agreement shall include the masculine, feminine, and neuter; (c) the words “includes” or “including” shall mean “including without limitation”; (d) the words “hereof”, “herein”, “hereunder” and similar terms in Transfer and Auction Agreement shall refer to this Transfer and Auction Agreement as a whole and not any particular section or article in which such words appear; and (e) the word “or” shall have the inclusive meaning represented by the phrase “and/or”.    Unless the context of this Transfer and Auction Agreement clearly requires otherwise, all references to (i) Sections, Articles, Schedules, Exhibits, or Appendices in this Transfer and Auction Agreement refer to sections or articles of, or schedules, exhibits, or appendices attached to, this Transfer and Auction Agreement, (ii) any Person as a party to a document or instrument shall include such Person’s successors and assigns to such status to the extent permitted by this Transfer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Transfer and Auction Agreement shall be based upon Eastern Standard Time or Eastern Daylight Savings Time, as applicable on the date in question.    </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9.15</w:instrText>
        <w:tab/>
        <w:instrText xml:space="preserve">Entire Agreement " \l 1 </w:instrText>
      </w:r>
      <w:r>
        <w:rPr>
          <w:sz w:val="36"/>
        </w:rPr>
        <w:fldChar w:fldCharType="separate"/>
      </w:r>
      <w:r>
        <w:rPr>
          <w:sz w:val="36"/>
        </w:rPr>
      </w:r>
      <w:r>
        <w:rPr>
          <w:sz w:val="36"/>
        </w:rPr>
        <w:fldChar w:fldCharType="end"/>
      </w:r>
      <w:r>
        <w:rPr>
          <w:sz w:val="36"/>
        </w:rPr>
        <w:t xml:space="preserve">.    The Operative Documents represent all of the agreements and understandings relating to the transactions contemplated by such documents as among the Trustee, on the one hand, and Asset LLC, the Transferor, the Sponsor, </w:t>
      </w:r>
      <w:r>
        <w:rPr>
          <w:b/>
          <w:i/>
          <w:sz w:val="36"/>
        </w:rPr>
        <w:t>[the Permitted Swap Party,]</w:t>
      </w:r>
      <w:r>
        <w:rPr>
          <w:sz w:val="36"/>
        </w:rPr>
        <w:t xml:space="preserve"> Enron and their Affiliates, on the other hand, and the parties to this Transfer and Auction Agreement acknowledge and agree that all prior written and oral agreements or understandings relating to the transactions contemplated by this Transfer and Auction Agreement between or among such Persons are hereby superseded in their entirety.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9.16</w:instrText>
        <w:tab/>
        <w:instrText xml:space="preserve">Limitation of Liability " \l 1 </w:instrText>
      </w:r>
      <w:r>
        <w:rPr>
          <w:sz w:val="36"/>
        </w:rPr>
        <w:fldChar w:fldCharType="separate"/>
      </w:r>
      <w:r>
        <w:rPr>
          <w:sz w:val="36"/>
        </w:rPr>
      </w:r>
      <w:r>
        <w:rPr>
          <w:sz w:val="36"/>
        </w:rPr>
        <w:fldChar w:fldCharType="end"/>
      </w:r>
      <w:r>
        <w:rPr>
          <w:b/>
          <w:sz w:val="36"/>
        </w:rPr>
        <w:t>.    Notwithstanding anything in this Transfer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9.17</w:instrText>
        <w:tab/>
        <w:instrText xml:space="preserve">Dispute Resolution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t>Any and all claims, counterclaims, demands, cause of action, disputes, controversies, and other matters in question arising out of or relating to this Transfer and Auction Agreement involving the parties and/or their respective representatives (all of which are referred to herein as “</w:t>
      </w:r>
      <w:r>
        <w:rPr>
          <w:sz w:val="36"/>
          <w:u w:val="single"/>
        </w:rPr>
        <w:t>Claims</w:t>
      </w:r>
      <w:r>
        <w:rPr>
          <w:sz w:val="36"/>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Transfer and Auction Agreement to arbitrate.    Although the parties intend that the arbitrators shall refer to Commercial Arbitration Rules of the American Arbitration Association for guidance, except as otherwise provided by this Transfer and Auction Agreement, the arbitration shall not be conducted by the American Arbitration Association but instead shall be self-administered by the parties until the arbitrators are selected and then it shall be self-administered by the arbitrators.</w:t>
      </w:r>
    </w:p>
    <w:p>
      <w:pPr>
        <w:pStyle w:val="Normal"/>
        <w:bidi w:val="0"/>
        <w:jc w:val="start"/>
        <w:rPr>
          <w:sz w:val="36"/>
        </w:rPr>
      </w:pPr>
      <w:r>
        <w:rPr>
          <w:sz w:val="36"/>
        </w:rPr>
      </w:r>
    </w:p>
    <w:p>
      <w:pPr>
        <w:pStyle w:val="Normal"/>
        <w:bidi w:val="0"/>
        <w:jc w:val="start"/>
        <w:rPr>
          <w:sz w:val="36"/>
        </w:rPr>
      </w:pPr>
      <w:r>
        <w:rPr>
          <w:sz w:val="36"/>
        </w:rPr>
        <w:tab/>
        <w:t>(b)</w:t>
        <w:tab/>
        <w:t>The arbitration proceedings shall be conducted in Wilmington, Delaware.</w:t>
      </w:r>
    </w:p>
    <w:p>
      <w:pPr>
        <w:pStyle w:val="Normal"/>
        <w:bidi w:val="0"/>
        <w:jc w:val="start"/>
        <w:rPr>
          <w:sz w:val="36"/>
        </w:rPr>
      </w:pPr>
      <w:r>
        <w:rPr>
          <w:sz w:val="36"/>
        </w:rPr>
      </w:r>
    </w:p>
    <w:p>
      <w:pPr>
        <w:pStyle w:val="Normal"/>
        <w:bidi w:val="0"/>
        <w:jc w:val="start"/>
        <w:rPr>
          <w:sz w:val="36"/>
        </w:rPr>
      </w:pPr>
      <w:r>
        <w:rPr>
          <w:sz w:val="36"/>
        </w:rPr>
        <w:tab/>
        <w:t>(c)</w:t>
        <w:tab/>
        <w:t>The arbitration may be initiated by either party by providing to the other a written notice of arbitration specifying its Claims.</w:t>
      </w:r>
    </w:p>
    <w:p>
      <w:pPr>
        <w:pStyle w:val="Normal"/>
        <w:bidi w:val="0"/>
        <w:jc w:val="start"/>
        <w:rPr>
          <w:sz w:val="36"/>
        </w:rPr>
      </w:pPr>
      <w:r>
        <w:rPr>
          <w:sz w:val="36"/>
        </w:rPr>
      </w:r>
    </w:p>
    <w:p>
      <w:pPr>
        <w:pStyle w:val="Normal"/>
        <w:bidi w:val="0"/>
        <w:jc w:val="start"/>
        <w:rPr>
          <w:sz w:val="36"/>
        </w:rPr>
      </w:pPr>
      <w:r>
        <w:rPr>
          <w:sz w:val="36"/>
        </w:rPr>
        <w:tab/>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Transfer and Auction Agreement to arbitrate and (ii) to refrain from future </w:t>
      </w:r>
      <w:r>
        <w:rPr>
          <w:i/>
          <w:sz w:val="36"/>
        </w:rPr>
        <w:t>ex parte</w:t>
      </w:r>
      <w:r>
        <w:rPr>
          <w:sz w:val="36"/>
        </w:rPr>
        <w:t xml:space="preserve"> contact with the parties or their counsel concerning the subject matter of the arbitration.    The three arbitrators shall make all of their decisions by majority vote.    If one of the party-appointed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party-appointed arbitrator, such party shall promptly select a new arbitrator, and if the incapacitated arbitrator is the neutral arbitrator, the two party-appointed arbitrators shall select a substitute neutral arbitrator, failing agreement on which the parties (or either of them) shall apply to the American Arbitration Association, which shall appoint the substitute neutral arbitrator.</w:t>
      </w:r>
    </w:p>
    <w:p>
      <w:pPr>
        <w:pStyle w:val="Normal"/>
        <w:bidi w:val="0"/>
        <w:jc w:val="start"/>
        <w:rPr>
          <w:sz w:val="36"/>
        </w:rPr>
      </w:pPr>
      <w:r>
        <w:rPr>
          <w:sz w:val="36"/>
        </w:rPr>
        <w:tab/>
        <w:t>(e)</w:t>
        <w:tab/>
        <w:t xml:space="preserve">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 Claims, the arbitrators shall refer to the substantive laws of the State of New York.    </w:t>
      </w:r>
    </w:p>
    <w:p>
      <w:pPr>
        <w:pStyle w:val="Normal"/>
        <w:bidi w:val="0"/>
        <w:jc w:val="start"/>
        <w:rPr>
          <w:sz w:val="36"/>
        </w:rPr>
      </w:pPr>
      <w:r>
        <w:rPr>
          <w:sz w:val="36"/>
        </w:rPr>
      </w:r>
    </w:p>
    <w:p>
      <w:pPr>
        <w:pStyle w:val="Normal"/>
        <w:bidi w:val="0"/>
        <w:jc w:val="start"/>
        <w:rPr>
          <w:sz w:val="36"/>
        </w:rPr>
      </w:pPr>
      <w:r>
        <w:rPr>
          <w:sz w:val="36"/>
        </w:rPr>
        <w:tab/>
        <w:t>(f)</w:t>
        <w:tab/>
        <w:t>The final hearing shall be conducted within one hundred twenty (120) days of the selection of the third arbitrator.    The final hearing shall not exceed ten working days, with each party to be granted one-half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 ultimate decision after the final hearing shall be in writing, but shall be as brief as possible.</w:t>
      </w:r>
    </w:p>
    <w:p>
      <w:pPr>
        <w:pStyle w:val="Normal"/>
        <w:bidi w:val="0"/>
        <w:jc w:val="start"/>
        <w:rPr>
          <w:sz w:val="36"/>
        </w:rPr>
      </w:pPr>
      <w:r>
        <w:rPr>
          <w:sz w:val="36"/>
        </w:rPr>
      </w:r>
    </w:p>
    <w:p>
      <w:pPr>
        <w:pStyle w:val="Normal"/>
        <w:bidi w:val="0"/>
        <w:jc w:val="start"/>
        <w:rPr>
          <w:sz w:val="36"/>
        </w:rPr>
      </w:pPr>
      <w:r>
        <w:rPr>
          <w:sz w:val="36"/>
        </w:rPr>
        <w:tab/>
        <w:t>(g)</w:t>
        <w:tab/>
        <w:t xml:space="preserve">The arbitrators’ award shall be final and entitled to all of the protections and benefits of a final judgment, </w:t>
      </w:r>
      <w:r>
        <w:rPr>
          <w:i/>
          <w:sz w:val="36"/>
        </w:rPr>
        <w:t>e.g.</w:t>
      </w:r>
      <w:r>
        <w:rPr>
          <w:sz w:val="36"/>
        </w:rPr>
        <w:t>, res judicata (claim preclusion) and collateral estoppel (issue preclusion), as to all Claims, including compulsory counterclaims, that were or could have been presented to the arbitrators.    The arbitrators’ award shall not be reviewable by or appealable to any court except to the extent permitted by the Federal Arbitration Act.</w:t>
      </w:r>
    </w:p>
    <w:p>
      <w:pPr>
        <w:pStyle w:val="Normal"/>
        <w:bidi w:val="0"/>
        <w:jc w:val="start"/>
        <w:rPr>
          <w:sz w:val="36"/>
        </w:rPr>
      </w:pPr>
      <w:r>
        <w:rPr>
          <w:sz w:val="36"/>
        </w:rPr>
      </w:r>
    </w:p>
    <w:p>
      <w:pPr>
        <w:pStyle w:val="Normal"/>
        <w:bidi w:val="0"/>
        <w:jc w:val="start"/>
        <w:rPr>
          <w:sz w:val="36"/>
        </w:rPr>
      </w:pPr>
      <w:r>
        <w:rPr>
          <w:sz w:val="36"/>
        </w:rPr>
        <w:tab/>
        <w:t>(h)</w:t>
        <w:tab/>
        <w:t>It is the intent of the parties that the arbitration proceeding shall be conducted expeditiously, without initial recourse to the courts and without interlocutory appeals of the arbitrators’ decisions to the courts.    However, if a party refuses to honor its obligations under this Transfer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 orders and decisions may be enforced if necessary by any court.    The arbitrators’ award may be confirmed in, and judgment upon the award entered by, any federal or state court having jurisdiction over the parties.</w:t>
      </w:r>
    </w:p>
    <w:p>
      <w:pPr>
        <w:pStyle w:val="Normal"/>
        <w:bidi w:val="0"/>
        <w:jc w:val="start"/>
        <w:rPr>
          <w:sz w:val="36"/>
        </w:rPr>
      </w:pPr>
      <w:r>
        <w:rPr>
          <w:sz w:val="36"/>
        </w:rPr>
      </w:r>
    </w:p>
    <w:p>
      <w:pPr>
        <w:pStyle w:val="Normal"/>
        <w:bidi w:val="0"/>
        <w:jc w:val="start"/>
        <w:rPr>
          <w:sz w:val="36"/>
        </w:rPr>
      </w:pPr>
      <w:r>
        <w:rPr>
          <w:sz w:val="36"/>
        </w:rPr>
        <w:tab/>
        <w:t>(i)</w:t>
        <w:tab/>
        <w:t>The parties’ obligations under this Section 9.17 shall survive after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9.18</w:instrText>
        <w:tab/>
        <w:instrText xml:space="preserve">Governing Law " \l 1 </w:instrText>
      </w:r>
      <w:r>
        <w:rPr>
          <w:sz w:val="36"/>
        </w:rPr>
        <w:fldChar w:fldCharType="separate"/>
      </w:r>
      <w:r>
        <w:rPr>
          <w:sz w:val="36"/>
        </w:rPr>
      </w:r>
      <w:r>
        <w:rPr>
          <w:sz w:val="36"/>
        </w:rPr>
        <w:fldChar w:fldCharType="end"/>
      </w:r>
      <w:r>
        <w:rPr>
          <w:sz w:val="36"/>
        </w:rPr>
        <w:t>.    This Transfer and    Auction Agreement shall be governed by and interpreted in accordance with the laws of the State of New York.</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9.19</w:instrText>
        <w:tab/>
        <w:instrText xml:space="preserve">Benefit " \l 1 </w:instrText>
      </w:r>
      <w:r>
        <w:rPr>
          <w:sz w:val="36"/>
        </w:rPr>
        <w:fldChar w:fldCharType="separate"/>
      </w:r>
      <w:r>
        <w:rPr>
          <w:sz w:val="36"/>
        </w:rPr>
      </w:r>
      <w:r>
        <w:rPr>
          <w:sz w:val="36"/>
        </w:rPr>
        <w:fldChar w:fldCharType="end"/>
      </w:r>
      <w:r>
        <w:rPr>
          <w:sz w:val="36"/>
        </w:rPr>
        <w:t>.    Except as otherwise expressly provided herein, the parties hereto and their permitted successors and assigns, but no others, shall be bound by this Transfer and Auction Agreement and entitled to the benefit hereof.</w:t>
      </w:r>
    </w:p>
    <w:p>
      <w:pPr>
        <w:sectPr>
          <w:headerReference w:type="even" r:id="rId17"/>
          <w:headerReference w:type="default" r:id="rId18"/>
          <w:headerReference w:type="first" r:id="rId19"/>
          <w:footerReference w:type="even" r:id="rId20"/>
          <w:footerReference w:type="default" r:id="rId21"/>
          <w:footerReference w:type="first" r:id="rId22"/>
          <w:type w:val="nextPage"/>
          <w:pgSz w:w="12240" w:h="15840"/>
          <w:pgMar w:left="1440" w:right="1440" w:gutter="0" w:header="720" w:top="777" w:footer="1440" w:bottom="1497"/>
          <w:pgNumType w:start="1" w:fmt="decimal"/>
          <w:cols w:num="2" w:space="720" w:equalWidth="true" w:sep="false"/>
          <w:formProt w:val="false"/>
          <w:textDirection w:val="lrTb"/>
          <w:docGrid w:type="default" w:linePitch="100" w:charSpace="0"/>
        </w:sectPr>
      </w:pPr>
    </w:p>
    <w:p>
      <w:pPr>
        <w:pStyle w:val="Normal"/>
        <w:bidi w:val="0"/>
        <w:jc w:val="start"/>
        <w:rPr>
          <w:sz w:val="36"/>
        </w:rPr>
      </w:pPr>
      <w:r>
        <w:rPr>
          <w:sz w:val="36"/>
        </w:rPr>
      </w:r>
    </w:p>
    <w:p>
      <w:pPr>
        <w:sectPr>
          <w:headerReference w:type="even" r:id="rId23"/>
          <w:headerReference w:type="default" r:id="rId24"/>
          <w:headerReference w:type="first" r:id="rId25"/>
          <w:footerReference w:type="even" r:id="rId26"/>
          <w:footerReference w:type="default" r:id="rId27"/>
          <w:footerReference w:type="first" r:id="rId28"/>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bidi w:val="0"/>
        <w:jc w:val="start"/>
        <w:rPr>
          <w:sz w:val="36"/>
        </w:rPr>
      </w:pPr>
      <w:r>
        <w:rPr>
          <w:sz w:val="36"/>
        </w:rPr>
        <w:tab/>
        <w:t>IN WITNESS WHEREOF, the parties have caused this Transfer and Auction Agreement to be duly executed as of the date first set forth above.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r>
      <w:r>
        <w:rPr>
          <w:b/>
          <w:i/>
          <w:sz w:val="36"/>
        </w:rPr>
        <w:t>[NAME OF TRANSFEROR]</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ind w:hanging="4320" w:start="4320"/>
        <w:jc w:val="start"/>
        <w:rPr>
          <w:b/>
          <w:sz w:val="36"/>
        </w:rPr>
      </w:pPr>
      <w:r>
        <w:rPr>
          <w:sz w:val="36"/>
        </w:rPr>
        <w:tab/>
        <w:tab/>
        <w:tab/>
        <w:tab/>
        <w:tab/>
        <w:tab/>
      </w:r>
      <w:r>
        <w:rPr>
          <w:b/>
          <w:i/>
          <w:sz w:val="36"/>
        </w:rPr>
        <w:t>[NAME OF SPONSOR]</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By:</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Name:</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Title:</w:t>
      </w:r>
      <w:r>
        <w:rPr>
          <w:sz w:val="36"/>
          <w:u w:val="single"/>
        </w:rPr>
        <w:tab/>
      </w:r>
    </w:p>
    <w:p>
      <w:pPr>
        <w:pStyle w:val="Normal"/>
        <w:bidi w:val="0"/>
        <w:jc w:val="start"/>
        <w:rPr>
          <w:sz w:val="36"/>
        </w:rPr>
      </w:pPr>
      <w:r>
        <w:rPr>
          <w:sz w:val="36"/>
        </w:rPr>
      </w:r>
    </w:p>
    <w:p>
      <w:pPr>
        <w:pStyle w:val="Normal"/>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r>
      <w:r>
        <w:rPr>
          <w:b/>
          <w:sz w:val="36"/>
        </w:rPr>
        <w:t>HAWAII II 125-0 TRUST</w:t>
      </w:r>
    </w:p>
    <w:p>
      <w:pPr>
        <w:pStyle w:val="Normal"/>
        <w:bidi w:val="0"/>
        <w:jc w:val="start"/>
        <w:rPr>
          <w:sz w:val="36"/>
        </w:rPr>
      </w:pPr>
      <w:r>
        <w:rPr>
          <w:sz w:val="36"/>
        </w:rPr>
      </w:r>
    </w:p>
    <w:p>
      <w:pPr>
        <w:pStyle w:val="Normal"/>
        <w:bidi w:val="0"/>
        <w:ind w:hanging="4320" w:start="4320"/>
        <w:jc w:val="start"/>
        <w:rPr>
          <w:sz w:val="36"/>
        </w:rPr>
      </w:pPr>
      <w:r>
        <w:rPr>
          <w:sz w:val="36"/>
        </w:rPr>
        <w:tab/>
        <w:tab/>
        <w:tab/>
        <w:tab/>
        <w:tab/>
        <w:tab/>
        <w:t>By:</w:t>
        <w:tab/>
        <w:t>WILMINGTON TRUST COMPANY,</w:t>
      </w:r>
    </w:p>
    <w:p>
      <w:pPr>
        <w:pStyle w:val="Normal"/>
        <w:bidi w:val="0"/>
        <w:jc w:val="start"/>
        <w:rPr>
          <w:sz w:val="36"/>
        </w:rPr>
      </w:pPr>
      <w:r>
        <w:rPr>
          <w:sz w:val="36"/>
        </w:rPr>
        <w:tab/>
        <w:tab/>
        <w:tab/>
        <w:tab/>
        <w:tab/>
        <w:tab/>
        <w:tab/>
        <w:t>not in its individual capacity,</w:t>
      </w:r>
    </w:p>
    <w:p>
      <w:pPr>
        <w:pStyle w:val="Normal"/>
        <w:bidi w:val="0"/>
        <w:jc w:val="start"/>
        <w:rPr>
          <w:sz w:val="36"/>
        </w:rPr>
      </w:pPr>
      <w:r>
        <w:rPr>
          <w:sz w:val="36"/>
        </w:rPr>
        <w:tab/>
        <w:tab/>
        <w:tab/>
        <w:tab/>
        <w:tab/>
        <w:tab/>
        <w:tab/>
        <w:t>but solely as Owner Trustee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spacing w:before="0" w:after="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center"/>
        <w:rPr>
          <w:b/>
          <w:sz w:val="36"/>
        </w:rPr>
      </w:pPr>
      <w:r>
        <w:rPr>
          <w:b/>
          <w:sz w:val="36"/>
        </w:rPr>
        <w:t>SCHEDULE I</w:t>
      </w:r>
    </w:p>
    <w:p>
      <w:pPr>
        <w:pStyle w:val="Normal"/>
        <w:bidi w:val="0"/>
        <w:jc w:val="center"/>
        <w:rPr>
          <w:b/>
          <w:sz w:val="36"/>
        </w:rPr>
      </w:pPr>
      <w:r>
        <w:rPr>
          <w:b/>
          <w:sz w:val="36"/>
        </w:rPr>
        <w:t>to</w:t>
      </w:r>
    </w:p>
    <w:p>
      <w:pPr>
        <w:pStyle w:val="Normal"/>
        <w:bidi w:val="0"/>
        <w:jc w:val="center"/>
        <w:rPr>
          <w:sz w:val="36"/>
        </w:rPr>
      </w:pPr>
      <w:r>
        <w:rPr>
          <w:b/>
          <w:sz w:val="36"/>
        </w:rPr>
        <w:t>Transfer and Auction Agreement</w:t>
      </w:r>
    </w:p>
    <w:p>
      <w:pPr>
        <w:pStyle w:val="Normal"/>
        <w:bidi w:val="0"/>
        <w:jc w:val="start"/>
        <w:rPr>
          <w:sz w:val="36"/>
        </w:rPr>
      </w:pPr>
      <w:r>
        <w:rPr>
          <w:sz w:val="36"/>
        </w:rPr>
      </w:r>
    </w:p>
    <w:p>
      <w:pPr>
        <w:pStyle w:val="Normal"/>
        <w:bidi w:val="0"/>
        <w:jc w:val="center"/>
        <w:rPr>
          <w:b/>
          <w:sz w:val="36"/>
        </w:rPr>
      </w:pPr>
      <w:r>
        <w:rPr>
          <w:b/>
          <w:sz w:val="36"/>
        </w:rPr>
        <w:t>COMMUNICATIONS TO PARTIES</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 xml:space="preserve">This Schedule I shows the names and addresses of the parties to this Transfer and    Auction Agreement. </w:t>
      </w:r>
    </w:p>
    <w:p>
      <w:pPr>
        <w:pStyle w:val="Normal"/>
        <w:bidi w:val="0"/>
        <w:jc w:val="start"/>
        <w:rPr>
          <w:sz w:val="36"/>
        </w:rPr>
      </w:pPr>
      <w:r>
        <w:rPr>
          <w:sz w:val="36"/>
        </w:rPr>
      </w:r>
    </w:p>
    <w:p>
      <w:pPr>
        <w:pStyle w:val="Normal"/>
        <w:bidi w:val="0"/>
        <w:jc w:val="start"/>
        <w:rPr>
          <w:sz w:val="36"/>
        </w:rPr>
      </w:pPr>
      <w:r>
        <w:rPr>
          <w:b/>
          <w:i/>
          <w:sz w:val="36"/>
          <w:u w:val="single"/>
        </w:rPr>
        <w:t>[Name of Transferor]</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i/>
          <w:sz w:val="36"/>
        </w:rPr>
        <w:t>[Name of Transferor]</w:t>
      </w:r>
    </w:p>
    <w:p>
      <w:pPr>
        <w:pStyle w:val="Normal"/>
        <w:bidi w:val="0"/>
        <w:jc w:val="start"/>
        <w:rPr>
          <w:sz w:val="36"/>
        </w:rPr>
      </w:pPr>
      <w:r>
        <w:rPr>
          <w:sz w:val="36"/>
        </w:rPr>
        <w:tab/>
        <w:t xml:space="preserve">c/o </w:t>
      </w:r>
      <w:r>
        <w:rPr>
          <w:b/>
          <w:i/>
          <w:sz w:val="36"/>
        </w:rPr>
        <w:t>[Name of Sponsor]</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bidi w:val="0"/>
        <w:jc w:val="start"/>
        <w:rPr>
          <w:sz w:val="36"/>
        </w:rPr>
      </w:pPr>
      <w:r>
        <w:rPr>
          <w:sz w:val="36"/>
        </w:rPr>
      </w:r>
    </w:p>
    <w:p>
      <w:pPr>
        <w:pStyle w:val="Normal"/>
        <w:bidi w:val="0"/>
        <w:ind w:hanging="720" w:start="720"/>
        <w:jc w:val="start"/>
        <w:rPr>
          <w:sz w:val="36"/>
        </w:rPr>
      </w:pPr>
      <w:r>
        <w:rPr>
          <w:sz w:val="36"/>
        </w:rPr>
        <w:t>(2)</w:t>
        <w:tab/>
        <w:t xml:space="preserve">All payments of amounts owed to </w:t>
      </w:r>
      <w:r>
        <w:rPr>
          <w:b/>
          <w:i/>
          <w:sz w:val="36"/>
        </w:rPr>
        <w:t>[Name of Transferor]</w:t>
      </w:r>
      <w:r>
        <w:rPr>
          <w:sz w:val="36"/>
        </w:rPr>
        <w:t xml:space="preserve"> under the Operative Documents shall be made by wire transfer of immediately available funds to Citibank N.A. - New York, ABA #</w:t>
      </w:r>
      <w:r>
        <w:rPr>
          <w:b/>
          <w:i/>
          <w:sz w:val="36"/>
        </w:rPr>
        <w:t>[</w:t>
        <w:tab/>
        <w:tab/>
        <w:t>]</w:t>
      </w:r>
      <w:r>
        <w:rPr>
          <w:sz w:val="36"/>
        </w:rPr>
        <w:t xml:space="preserve"> for credit to </w:t>
      </w:r>
      <w:r>
        <w:rPr>
          <w:b/>
          <w:i/>
          <w:sz w:val="36"/>
        </w:rPr>
        <w:t>[Name of Transferor]</w:t>
      </w:r>
      <w:r>
        <w:rPr>
          <w:sz w:val="36"/>
        </w:rPr>
        <w:t xml:space="preserve"> Account No. </w:t>
      </w:r>
      <w:r>
        <w:rPr>
          <w:b/>
          <w:i/>
          <w:sz w:val="36"/>
        </w:rPr>
        <w:t>[</w:t>
        <w:tab/>
        <w:tab/>
        <w:t>]</w:t>
      </w:r>
      <w:r>
        <w:rPr>
          <w:sz w:val="36"/>
        </w:rPr>
        <w:t>, with a reference to “</w:t>
      </w:r>
      <w:r>
        <w:rPr>
          <w:b/>
          <w:sz w:val="36"/>
        </w:rPr>
        <w:t>Hawaii II 125-0</w:t>
      </w:r>
      <w:r>
        <w:rPr>
          <w:sz w:val="36"/>
        </w:rPr>
        <w:t>” and sufficient information to identify the source and application of such funds.</w:t>
      </w:r>
    </w:p>
    <w:p>
      <w:pPr>
        <w:pStyle w:val="Normal"/>
        <w:bidi w:val="0"/>
        <w:jc w:val="start"/>
        <w:rPr>
          <w:sz w:val="36"/>
        </w:rPr>
      </w:pPr>
      <w:r>
        <w:rPr>
          <w:sz w:val="36"/>
        </w:rPr>
      </w:r>
    </w:p>
    <w:p>
      <w:pPr>
        <w:pStyle w:val="Normal"/>
        <w:bidi w:val="0"/>
        <w:jc w:val="start"/>
        <w:rPr>
          <w:sz w:val="36"/>
        </w:rPr>
      </w:pPr>
      <w:r>
        <w:rPr>
          <w:b/>
          <w:i/>
          <w:sz w:val="36"/>
        </w:rPr>
        <w:t>[Name of Sponsor]</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i/>
          <w:sz w:val="36"/>
        </w:rPr>
        <w:t>[Name of Sponsor]</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keepNext w:val="true"/>
        <w:bidi w:val="0"/>
        <w:jc w:val="start"/>
        <w:rPr>
          <w:sz w:val="36"/>
        </w:rPr>
      </w:pPr>
      <w:r>
        <w:rPr>
          <w:sz w:val="36"/>
        </w:rPr>
      </w:r>
    </w:p>
    <w:p>
      <w:pPr>
        <w:pStyle w:val="Normal"/>
        <w:keepNext w:val="true"/>
        <w:bidi w:val="0"/>
        <w:jc w:val="start"/>
        <w:rPr>
          <w:sz w:val="36"/>
        </w:rPr>
      </w:pPr>
      <w:r>
        <w:rPr>
          <w:sz w:val="36"/>
          <w:u w:val="single"/>
        </w:rPr>
        <w:t>Trust</w:t>
      </w:r>
      <w:r>
        <w:rPr>
          <w:sz w:val="36"/>
        </w:rPr>
        <w:t>:</w:t>
      </w:r>
    </w:p>
    <w:p>
      <w:pPr>
        <w:pStyle w:val="Normal"/>
        <w:keepNext w:val="true"/>
        <w:bidi w:val="0"/>
        <w:jc w:val="start"/>
        <w:rPr>
          <w:sz w:val="36"/>
        </w:rPr>
      </w:pPr>
      <w:r>
        <w:rPr>
          <w:sz w:val="36"/>
        </w:rPr>
      </w:r>
    </w:p>
    <w:p>
      <w:pPr>
        <w:pStyle w:val="Normal"/>
        <w:keepNext w:val="true"/>
        <w:bidi w:val="0"/>
        <w:jc w:val="start"/>
        <w:rPr>
          <w:sz w:val="36"/>
        </w:rPr>
      </w:pPr>
      <w:r>
        <w:rPr>
          <w:sz w:val="36"/>
        </w:rPr>
        <w:t>Address for all notices:</w:t>
      </w:r>
    </w:p>
    <w:p>
      <w:pPr>
        <w:pStyle w:val="Normal"/>
        <w:keepNext w:val="true"/>
        <w:bidi w:val="0"/>
        <w:jc w:val="start"/>
        <w:rPr>
          <w:sz w:val="36"/>
        </w:rPr>
      </w:pPr>
      <w:r>
        <w:rPr>
          <w:sz w:val="36"/>
        </w:rPr>
      </w:r>
    </w:p>
    <w:p>
      <w:pPr>
        <w:pStyle w:val="Normal"/>
        <w:keepNext w:val="true"/>
        <w:bidi w:val="0"/>
        <w:jc w:val="start"/>
        <w:rPr>
          <w:sz w:val="36"/>
        </w:rPr>
      </w:pPr>
      <w:r>
        <w:rPr>
          <w:sz w:val="36"/>
        </w:rPr>
        <w:t>Hawaii II 125-0 Trust</w:t>
      </w:r>
    </w:p>
    <w:p>
      <w:pPr>
        <w:pStyle w:val="Normal"/>
        <w:keepNext w:val="true"/>
        <w:bidi w:val="0"/>
        <w:jc w:val="start"/>
        <w:rPr>
          <w:sz w:val="36"/>
        </w:rPr>
      </w:pPr>
      <w:r>
        <w:rPr>
          <w:sz w:val="36"/>
        </w:rPr>
        <w:t>Wilmington Trust Company</w:t>
      </w:r>
    </w:p>
    <w:p>
      <w:pPr>
        <w:pStyle w:val="Normal"/>
        <w:keepNext w:val="true"/>
        <w:bidi w:val="0"/>
        <w:jc w:val="start"/>
        <w:rPr>
          <w:sz w:val="36"/>
        </w:rPr>
      </w:pPr>
      <w:r>
        <w:rPr>
          <w:sz w:val="36"/>
        </w:rPr>
        <w:t>Rodney Square North</w:t>
      </w:r>
    </w:p>
    <w:p>
      <w:pPr>
        <w:pStyle w:val="Normal"/>
        <w:keepLines/>
        <w:bidi w:val="0"/>
        <w:jc w:val="start"/>
        <w:rPr>
          <w:sz w:val="36"/>
        </w:rPr>
      </w:pPr>
      <w:r>
        <w:rPr>
          <w:sz w:val="36"/>
        </w:rPr>
        <w:t>1100 North Market Street</w:t>
      </w:r>
    </w:p>
    <w:p>
      <w:pPr>
        <w:pStyle w:val="Normal"/>
        <w:bidi w:val="0"/>
        <w:spacing w:before="0" w:after="0"/>
        <w:jc w:val="start"/>
        <w:rPr>
          <w:sz w:val="36"/>
        </w:rPr>
      </w:pPr>
      <w:r>
        <w:rPr>
          <w:sz w:val="36"/>
        </w:rPr>
        <w:t>Wilmington, DE    19890</w:t>
      </w:r>
    </w:p>
    <w:p>
      <w:pPr>
        <w:sectPr>
          <w:headerReference w:type="even" r:id="rId29"/>
          <w:headerReference w:type="default" r:id="rId30"/>
          <w:headerReference w:type="first" r:id="rId31"/>
          <w:footerReference w:type="even" r:id="rId32"/>
          <w:footerReference w:type="default" r:id="rId33"/>
          <w:footerReference w:type="first" r:id="rId34"/>
          <w:type w:val="nextPage"/>
          <w:pgSz w:w="12240" w:h="15840"/>
          <w:pgMar w:left="1440" w:right="1440" w:gutter="0" w:header="720" w:top="777" w:footer="1440" w:bottom="1497"/>
          <w:pgNumType w:start="1"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SCHEDULE II</w:t>
      </w:r>
    </w:p>
    <w:p>
      <w:pPr>
        <w:sectPr>
          <w:headerReference w:type="even" r:id="rId35"/>
          <w:headerReference w:type="default" r:id="rId36"/>
          <w:headerReference w:type="first" r:id="rId37"/>
          <w:footerReference w:type="even" r:id="rId38"/>
          <w:footerReference w:type="default" r:id="rId39"/>
          <w:footerReference w:type="first" r:id="rId40"/>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to</w:t>
      </w:r>
    </w:p>
    <w:p>
      <w:pPr>
        <w:pStyle w:val="Normal"/>
        <w:bidi w:val="0"/>
        <w:jc w:val="center"/>
        <w:rPr>
          <w:b/>
          <w:sz w:val="36"/>
        </w:rPr>
      </w:pPr>
      <w:r>
        <w:rPr>
          <w:b/>
          <w:sz w:val="36"/>
        </w:rPr>
        <w:t>Transfer and Auction Agreement</w:t>
      </w:r>
    </w:p>
    <w:p>
      <w:pPr>
        <w:pStyle w:val="Normal"/>
        <w:bidi w:val="0"/>
        <w:jc w:val="start"/>
        <w:rPr>
          <w:b/>
          <w:sz w:val="36"/>
        </w:rPr>
      </w:pPr>
      <w:r>
        <w:rPr>
          <w:b/>
          <w:sz w:val="36"/>
        </w:rPr>
      </w:r>
    </w:p>
    <w:p>
      <w:pPr>
        <w:pStyle w:val="Normal"/>
        <w:bidi w:val="0"/>
        <w:jc w:val="center"/>
        <w:rPr>
          <w:sz w:val="36"/>
        </w:rPr>
      </w:pPr>
      <w:r>
        <w:rPr>
          <w:b/>
          <w:sz w:val="36"/>
        </w:rPr>
        <w:t>FORM OF ASSIGNMENT AND ASSUMPTION AGREEMENT</w:t>
      </w:r>
    </w:p>
    <w:p>
      <w:pPr>
        <w:pStyle w:val="Normal"/>
        <w:bidi w:val="0"/>
        <w:jc w:val="start"/>
        <w:rPr>
          <w:sz w:val="28"/>
        </w:rPr>
      </w:pPr>
      <w:r>
        <w:rPr>
          <w:sz w:val="28"/>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THIS ASSIGNMENT AND ASSUMPTION AGREEMENT dated as of ________________ (this “</w:t>
      </w:r>
      <w:r>
        <w:rPr>
          <w:sz w:val="36"/>
          <w:u w:val="single"/>
        </w:rPr>
        <w:t>Agreement</w:t>
      </w:r>
      <w:r>
        <w:rPr>
          <w:sz w:val="36"/>
        </w:rPr>
        <w:t>”) is executed by and between the Hawaii II 125-0 Trust (the “</w:t>
      </w:r>
      <w:r>
        <w:rPr>
          <w:sz w:val="36"/>
          <w:u w:val="single"/>
        </w:rPr>
        <w:t>Trust</w:t>
      </w:r>
      <w:r>
        <w:rPr>
          <w:sz w:val="36"/>
        </w:rPr>
        <w:t xml:space="preserve">”), whose principal place of business is at Rodney Square North, 1100 North Market Street, Wilmington, DE 19890 and </w:t>
      </w:r>
      <w:r>
        <w:rPr>
          <w:b/>
          <w:i/>
          <w:sz w:val="36"/>
        </w:rPr>
        <w:t>[___________]</w:t>
      </w:r>
      <w:r>
        <w:rPr>
          <w:sz w:val="36"/>
        </w:rPr>
        <w:t xml:space="preserve"> (the “</w:t>
      </w:r>
      <w:r>
        <w:rPr>
          <w:sz w:val="36"/>
          <w:u w:val="single"/>
        </w:rPr>
        <w:t>Winning Bidder</w:t>
      </w:r>
      <w:r>
        <w:rPr>
          <w:sz w:val="36"/>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w:t>
        <w:tab/>
        <w:t xml:space="preserve">The Trust acquired the Asset LLC Interest from the Transferor pursuant to that certain Transfer and Auction Agreement dated as of </w:t>
      </w:r>
      <w:r>
        <w:rPr>
          <w:b/>
          <w:i/>
          <w:sz w:val="36"/>
        </w:rPr>
        <w:t>[date]</w:t>
      </w:r>
      <w:r>
        <w:rPr>
          <w:sz w:val="36"/>
        </w:rPr>
        <w:t xml:space="preserve"> (the “</w:t>
      </w:r>
      <w:r>
        <w:rPr>
          <w:sz w:val="36"/>
          <w:u w:val="single"/>
        </w:rPr>
        <w:t>Transfer and Auction Agreement</w:t>
      </w:r>
      <w:r>
        <w:rPr>
          <w:sz w:val="36"/>
        </w:rPr>
        <w:t>”) between the Trust, the Transferor and the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B.</w:t>
        <w:tab/>
        <w:t>Pursuant to Section 4.01 of the Transfer and Auction Agreement, the Winning Bidder is purchasing the Asset LLC Interest from the Trust in consideration of the price of $___________.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For good and valuable consideration the receipt and sufficiency of which are hereby acknowledged, the Trust and the Winning Bidder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u w:val="single"/>
        </w:rPr>
      </w:pPr>
      <w:r>
        <w:rPr>
          <w:b/>
          <w:sz w:val="36"/>
          <w:u w:val="single"/>
        </w:rPr>
        <w:t>DEFINITIONS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1.01</w:t>
        <w:tab/>
      </w:r>
      <w:r>
        <w:rPr>
          <w:sz w:val="36"/>
          <w:u w:val="single"/>
        </w:rPr>
        <w:t>Definitions</w:t>
      </w:r>
      <w:r>
        <w:rPr>
          <w:sz w:val="36"/>
        </w:rPr>
        <w:t>.    The capitalized terms referenced in this Assignment and Assumption Agreement (and not otherwise defined herein) shall have the meanings set forth in the Transfer and Auction Agreement.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u w:val="single"/>
        </w:rPr>
        <w:t>ASSIGNMENT OF THE CLASS B MEMBER INTEREST</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2.01</w:t>
        <w:tab/>
      </w:r>
      <w:r>
        <w:rPr>
          <w:sz w:val="36"/>
          <w:u w:val="single"/>
        </w:rPr>
        <w:t>Conveyance</w:t>
      </w:r>
      <w:r>
        <w:rPr>
          <w:sz w:val="36"/>
        </w:rPr>
        <w:t>.    The Trust does hereby assign, set-over, transfer, and otherwise convey the Asset LLC Interest to the Winning Bidder with a special warranty of title.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2.02</w:t>
        <w:tab/>
      </w:r>
      <w:r>
        <w:rPr>
          <w:sz w:val="36"/>
          <w:u w:val="single"/>
        </w:rPr>
        <w:t>Intention of Parties</w:t>
      </w:r>
      <w:r>
        <w:rPr>
          <w:sz w:val="36"/>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3.01</w:t>
        <w:tab/>
      </w:r>
      <w:r>
        <w:rPr>
          <w:sz w:val="36"/>
          <w:u w:val="single"/>
        </w:rPr>
        <w:t>Further Assurances</w:t>
      </w:r>
      <w:r>
        <w:rPr>
          <w:sz w:val="36"/>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3.02</w:t>
        <w:tab/>
      </w:r>
      <w:r>
        <w:rPr>
          <w:sz w:val="36"/>
          <w:u w:val="single"/>
        </w:rPr>
        <w:t>Successors and Assigns</w:t>
      </w:r>
      <w:r>
        <w:rPr>
          <w:sz w:val="36"/>
        </w:rPr>
        <w:t>.    This Assignment and Assumption Agreement shall be binding on the Winning Bidder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tab/>
        <w:t>Section 3.03</w:t>
        <w:tab/>
      </w:r>
      <w:r>
        <w:rPr>
          <w:sz w:val="36"/>
          <w:u w:val="single"/>
        </w:rPr>
        <w:t>Governing Law</w:t>
      </w:r>
      <w:r>
        <w:rPr>
          <w:sz w:val="36"/>
        </w:rPr>
        <w:t>.    THIS ASSIGNMENT AND ASSUMPTION AGREEMENT SHALL BE GOVERNED BY AND INTERPRETED IN ACCORDANCE WITH THE LAWS OF THE STATE OF NEW YORK.</w:t>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headerReference w:type="even" r:id="rId41"/>
          <w:headerReference w:type="default" r:id="rId42"/>
          <w:headerReference w:type="first" r:id="rId43"/>
          <w:footerReference w:type="even" r:id="rId44"/>
          <w:footerReference w:type="default" r:id="rId45"/>
          <w:footerReference w:type="first" r:id="rId46"/>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sz w:val="36"/>
        </w:rPr>
        <w:t>HAWAII II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sz w:val="36"/>
        </w:rPr>
      </w:pPr>
      <w:r>
        <w:rPr>
          <w:sz w:val="36"/>
        </w:rPr>
        <w:tab/>
        <w:tab/>
        <w:tab/>
        <w:tab/>
        <w:tab/>
        <w:tab/>
        <w:t>By:</w:t>
        <w:tab/>
      </w:r>
      <w:r>
        <w:rPr>
          <w:b/>
          <w:sz w:val="36"/>
        </w:rPr>
        <w:t>Wilmington Trust Company</w:t>
      </w:r>
      <w:r>
        <w:rPr>
          <w:sz w:val="36"/>
        </w:rPr>
        <w:t>,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00"/>
        <w:jc w:val="start"/>
        <w:rPr>
          <w:sz w:val="36"/>
        </w:rPr>
      </w:pPr>
      <w:r>
        <w:rPr>
          <w:sz w:val="36"/>
        </w:rPr>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i/>
          <w:sz w:val="36"/>
        </w:rPr>
        <w:t>[Winning Bidder]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COMPARISON OF HEADERS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-HEADER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EXHIBIT H TO FACILITY AGREEMENT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DAL: </w:t>
      </w:r>
      <w:bookmarkStart w:id="14" w:name="Redline_32_16"/>
      <w:bookmarkEnd w:id="14"/>
      <w:ins w:id="33" w:author="">
        <w:r>
          <w:rPr>
            <w:strike/>
            <w:sz w:val="36"/>
          </w:rPr>
          <w:t>266163.3</w:t>
        </w:r>
      </w:ins>
      <w:r>
        <w:rPr>
          <w:sz w:val="36"/>
        </w:rPr>
        <w:t xml:space="preserve"> </w:t>
      </w:r>
      <w:bookmarkStart w:id="15" w:name="Redline_32_9"/>
      <w:bookmarkEnd w:id="15"/>
      <w:ins w:id="34" w:author="">
        <w:r>
          <w:rPr>
            <w:b/>
            <w:sz w:val="36"/>
            <w:u w:val="double"/>
          </w:rPr>
          <w:t>266163.5</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Project Hawaii II/Exhibit H to Facility Agreement -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Schedule I-1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Schedule II-1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5-</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Project Hawaii II 125-0/Form of Assignment and Assumption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r>
    </w:p>
    <w:p>
      <w:pPr>
        <w:sectPr>
          <w:headerReference w:type="default" r:id="rId47"/>
          <w:footerReference w:type="default" r:id="rId48"/>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original document      : C:\DOCUME~1\MCFAM\LOCALS~1\TEMP\DAL_266163_3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and revised document: C:\DOCUME~1\MCFAM\LOCALS~1\TEMP\DAL_266163_5</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CompareRite found      18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Additions appear as Bold+Dbl Underline text </w:t>
      </w:r>
    </w:p>
    <w:sectPr>
      <w:headerReference w:type="default" r:id="rId49"/>
      <w:headerReference w:type="first" r:id="rId50"/>
      <w:footerReference w:type="default" r:id="rId51"/>
      <w:footerReference w:type="first" r:id="rId52"/>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7">
              <wp:simplePos x="0" y="0"/>
              <wp:positionH relativeFrom="column">
                <wp:align>center</wp:align>
              </wp:positionH>
              <wp:positionV relativeFrom="margin">
                <wp:posOffset>0</wp:posOffset>
              </wp:positionV>
              <wp:extent cx="127635" cy="146685"/>
              <wp:effectExtent l="0" t="0" r="0" b="0"/>
              <wp:wrapTopAndBottom/>
              <wp:docPr id="8"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v:textbox>
              <w10:wrap type="topAndBottom"/>
            </v:rect>
          </w:pict>
        </mc:Fallback>
      </mc:AlternateContent>
    </w:r>
  </w:p>
  <w:p>
    <w:pPr>
      <w:pStyle w:val="Normal"/>
      <w:bidi w:val="0"/>
      <w:jc w:val="both"/>
      <w:rPr>
        <w:sz w:val="13"/>
      </w:rPr>
    </w:pPr>
    <w:r>
      <w:rPr>
        <w:sz w:val="13"/>
      </w:rPr>
      <w:t>DAL:266163.5</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7">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v:textbox>
              <w10:wrap type="topAndBottom"/>
            </v:rect>
          </w:pict>
        </mc:Fallback>
      </mc:AlternateContent>
    </w:r>
  </w:p>
  <w:p>
    <w:pPr>
      <w:pStyle w:val="Normal"/>
      <w:bidi w:val="0"/>
      <w:jc w:val="both"/>
      <w:rPr>
        <w:sz w:val="13"/>
      </w:rPr>
    </w:pPr>
    <w:r>
      <w:rPr>
        <w:sz w:val="13"/>
      </w:rPr>
      <w:t>DAL:266163.5</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9">
              <wp:simplePos x="0" y="0"/>
              <wp:positionH relativeFrom="column">
                <wp:align>center</wp:align>
              </wp:positionH>
              <wp:positionV relativeFrom="margin">
                <wp:posOffset>0</wp:posOffset>
              </wp:positionV>
              <wp:extent cx="127635" cy="146685"/>
              <wp:effectExtent l="0" t="0" r="0" b="0"/>
              <wp:wrapTopAndBottom/>
              <wp:docPr id="10"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v:textbox>
              <w10:wrap type="topAndBottom"/>
            </v:rect>
          </w:pict>
        </mc:Fallback>
      </mc:AlternateContent>
    </w:r>
  </w:p>
  <w:p>
    <w:pPr>
      <w:pStyle w:val="Normal"/>
      <w:bidi w:val="0"/>
      <w:jc w:val="both"/>
      <w:rPr>
        <w:sz w:val="36"/>
      </w:rPr>
    </w:pPr>
    <w:r>
      <w:rPr>
        <w:b/>
        <w:sz w:val="27"/>
      </w:rPr>
      <w:t>Project Hawaii II/Exhibit H to Facility Agreement - Transfer and Auction Agreement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9">
              <wp:simplePos x="0" y="0"/>
              <wp:positionH relativeFrom="column">
                <wp:align>center</wp:align>
              </wp:positionH>
              <wp:positionV relativeFrom="margin">
                <wp:posOffset>0</wp:posOffset>
              </wp:positionV>
              <wp:extent cx="127635" cy="146685"/>
              <wp:effectExtent l="0" t="0" r="0" b="0"/>
              <wp:wrapTopAndBottom/>
              <wp:docPr id="11"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v:textbox>
              <w10:wrap type="topAndBottom"/>
            </v:rect>
          </w:pict>
        </mc:Fallback>
      </mc:AlternateContent>
    </w:r>
  </w:p>
  <w:p>
    <w:pPr>
      <w:pStyle w:val="Normal"/>
      <w:bidi w:val="0"/>
      <w:jc w:val="both"/>
      <w:rPr>
        <w:sz w:val="36"/>
      </w:rPr>
    </w:pPr>
    <w:r>
      <w:rPr>
        <w:b/>
        <w:sz w:val="27"/>
      </w:rPr>
      <w:t>Project Hawaii II/Exhibit H to Facility Agreement - Transfer and Auction Agreement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2"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II 125-0/Form of Assignment and Assumption Agreement</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II 125-0/Form of Assignment and Assumption Agreement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II/Exhibit H to Facility Agreement - Transfer and Auction Agreement</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II/Exhibit H to Facility Agreement - Transfer and Auction Agreement</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4"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v:textbox>
              <w10:wrap type="topAndBottom"/>
            </v:rect>
          </w:pict>
        </mc:Fallback>
      </mc:AlternateContent>
    </w:r>
  </w:p>
  <w:p>
    <w:pPr>
      <w:pStyle w:val="Normal"/>
      <w:bidi w:val="0"/>
      <w:jc w:val="both"/>
      <w:rPr>
        <w:sz w:val="13"/>
      </w:rPr>
    </w:pPr>
    <w:r>
      <w:rPr>
        <w:sz w:val="13"/>
      </w:rPr>
      <w:t>DAL:266163.5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5" name="Frame4"/>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3"/>
      </w:rPr>
    </w:pPr>
    <w:r>
      <w:rPr>
        <w:sz w:val="13"/>
      </w:rPr>
      <w:t>DAL:266163.5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7"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3"/>
      </w:rPr>
    </w:pPr>
    <w:r>
      <w:rPr>
        <w:sz w:val="13"/>
      </w:rPr>
      <w:t>DAL:266163.5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center"/>
      <w:rPr>
        <w:sz w:val="36"/>
      </w:rPr>
    </w:pPr>
    <w:r>
      <w:rPr>
        <w:b/>
        <w:sz w:val="36"/>
      </w:rPr>
      <w:t>EXHIBIT H TO FACILITY AGREEMENT</w:t>
    </w:r>
    <w:r>
      <w:rPr>
        <w:sz w:val="36"/>
      </w:rPr>
      <w:tab/>
    </w:r>
  </w:p>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Dutch 801" w:cs="Arial"/>
      <w:color w:val="auto"/>
      <w:kern w:val="2"/>
      <w:sz w:val="20"/>
      <w:szCs w:val="24"/>
      <w:lang w:val="en-CA" w:eastAsia="zh-CN" w:bidi="hi-IN"/>
    </w:rPr>
  </w:style>
  <w:style w:type="character" w:styleId="HIGHLIGHT1">
    <w:name w:val="HIGHLIGHT 1"/>
    <w:qFormat/>
    <w:rPr>
      <w:rFonts w:ascii="Times New Roman" w:hAnsi="Times New Roman"/>
      <w:b/>
      <w:i/>
    </w:rPr>
  </w:style>
  <w:style w:type="character" w:styleId="TITLE">
    <w:name w:val="TITLE"/>
    <w:qFormat/>
    <w:rPr>
      <w:rFonts w:ascii="Times New Roman" w:hAnsi="Times New Roman"/>
      <w:b/>
      <w:sz w:val="36"/>
    </w:rPr>
  </w:style>
  <w:style w:type="character" w:styleId="BLOCKQUOTE">
    <w:name w:val="BLOCK QUOTE"/>
    <w:qFormat/>
    <w:rPr>
      <w:rFonts w:ascii="Times New Roman" w:hAnsi="Times New Roman"/>
      <w:sz w:val="19"/>
    </w:rPr>
  </w:style>
  <w:style w:type="character" w:styleId="HEADING1">
    <w:name w:val="HEADING 1"/>
    <w:qFormat/>
    <w:rPr>
      <w:rFonts w:ascii="Times New Roman" w:hAnsi="Times New Roman"/>
      <w:b/>
      <w:sz w:val="28"/>
    </w:rPr>
  </w:style>
  <w:style w:type="character" w:styleId="HEADING2">
    <w:name w:val="HEADING 2"/>
    <w:qFormat/>
    <w:rPr>
      <w:rFonts w:ascii="Times New Roman" w:hAnsi="Times New Roman"/>
      <w:b/>
      <w:sz w:val="28"/>
      <w:u w:val="single"/>
    </w:rPr>
  </w:style>
  <w:style w:type="character" w:styleId="HEADING3">
    <w:name w:val="HEADING 3"/>
    <w:qFormat/>
    <w:rPr>
      <w:rFonts w:ascii="Times New Roman" w:hAnsi="Times New Roman"/>
      <w:b/>
    </w:rPr>
  </w:style>
  <w:style w:type="character" w:styleId="HIGHLIGHT2">
    <w:name w:val="HIGHLIGHT 2"/>
    <w:qFormat/>
    <w:rPr>
      <w:rFonts w:ascii="Times New Roman" w:hAnsi="Times New Roman"/>
      <w:b/>
      <w:sz w:val="28"/>
    </w:rPr>
  </w:style>
  <w:style w:type="character" w:styleId="HIGHLIGHT3">
    <w:name w:val="HIGHLIGHT 3"/>
    <w:qFormat/>
    <w:rPr>
      <w:rFonts w:ascii="Times New Roman" w:hAnsi="Times New Roman"/>
      <w:i/>
      <w:sz w:val="28"/>
      <w:u w:val="single"/>
    </w:rPr>
  </w:style>
  <w:style w:type="character" w:styleId="Bibliogrphy">
    <w:name w:val="Bibliogrphy"/>
    <w:qFormat/>
    <w:rPr>
      <w:rFonts w:ascii="Times New Roman" w:hAnsi="Times New Roman"/>
    </w:rPr>
  </w:style>
  <w:style w:type="character" w:styleId="DocInit">
    <w:name w:val="Doc Init"/>
    <w:qFormat/>
    <w:rPr>
      <w:rFonts w:ascii="Times New Roman" w:hAnsi="Times New Roman"/>
    </w:rPr>
  </w:style>
  <w:style w:type="character" w:styleId="FOOTNOTE">
    <w:name w:val="FOOTNOTE"/>
    <w:qFormat/>
    <w:rPr>
      <w:rFonts w:ascii="Times New Roman" w:hAnsi="Times New Roman"/>
      <w:sz w:val="19"/>
    </w:rPr>
  </w:style>
  <w:style w:type="character" w:styleId="HEADER1">
    <w:name w:val="HEADER1"/>
    <w:qFormat/>
    <w:rPr>
      <w:rFonts w:ascii="Times New Roman" w:hAnsi="Times New Roman"/>
    </w:rPr>
  </w:style>
  <w:style w:type="character" w:styleId="FOOTER1">
    <w:name w:val="FOOTER1"/>
    <w:qFormat/>
    <w:rPr>
      <w:rFonts w:ascii="Times New Roman" w:hAnsi="Times New Roman"/>
    </w:rPr>
  </w:style>
  <w:style w:type="character" w:styleId="LETTERHEAD">
    <w:name w:val="LETTERHEAD"/>
    <w:qFormat/>
    <w:rPr>
      <w:rFonts w:ascii="Times New Roman" w:hAnsi="Times New Roman"/>
    </w:rPr>
  </w:style>
  <w:style w:type="character" w:styleId="INVOICEHEAD">
    <w:name w:val="INVOICE HEAD"/>
    <w:qFormat/>
    <w:rPr>
      <w:rFonts w:ascii="Times New Roman" w:hAnsi="Times New Roman"/>
    </w:rPr>
  </w:style>
  <w:style w:type="character" w:styleId="Heading">
    <w:name w:val="Heading"/>
    <w:qFormat/>
    <w:rPr>
      <w:rFonts w:ascii="Times New Roman" w:hAnsi="Times New Roman"/>
      <w:b/>
      <w:sz w:val="28"/>
    </w:rPr>
  </w:style>
  <w:style w:type="character" w:styleId="Subheading">
    <w:name w:val="Subheading"/>
    <w:qFormat/>
    <w:rPr>
      <w:rFonts w:ascii="Times New Roman" w:hAnsi="Times New Roman"/>
      <w:b/>
    </w:rPr>
  </w:style>
  <w:style w:type="character" w:styleId="RightPar">
    <w:name w:val="Right Par"/>
    <w:qFormat/>
    <w:rPr>
      <w:rFonts w:ascii="Times New Roman" w:hAnsi="Times New Roman"/>
    </w:rPr>
  </w:style>
  <w:style w:type="character" w:styleId="Valsother">
    <w:name w:val="Val's other"/>
    <w:qFormat/>
    <w:rPr>
      <w:rFonts w:ascii="Times New Roman" w:hAnsi="Times New Roman"/>
    </w:rPr>
  </w:style>
  <w:style w:type="character" w:styleId="Vals">
    <w:name w:val="Val's"/>
    <w:qFormat/>
    <w:rPr>
      <w:rFonts w:ascii="Times New Roman" w:hAnsi="Times New Roman"/>
    </w:rPr>
  </w:style>
  <w:style w:type="character" w:styleId="0">
    <w:name w:val="0"/>
    <w:qFormat/>
    <w:rPr>
      <w:rFonts w:ascii="Times New Roman" w:hAnsi="Times New Roman"/>
    </w:rPr>
  </w:style>
  <w:style w:type="character" w:styleId="ToCFormat">
    <w:name w:val="ToC Format"/>
    <w:qFormat/>
    <w:rPr>
      <w:rFonts w:ascii="Times New Roman" w:hAnsi="Times New Roman"/>
    </w:rPr>
  </w:style>
  <w:style w:type="character" w:styleId="NumberedPar">
    <w:name w:val="Numbered Par"/>
    <w:qFormat/>
    <w:rPr>
      <w:rFonts w:ascii="Times New Roman" w:hAnsi="Times New Roman"/>
    </w:rPr>
  </w:style>
  <w:style w:type="character" w:styleId="2">
    <w:name w:val="2"/>
    <w:qFormat/>
    <w:rPr>
      <w:rFonts w:ascii="Times New Roman" w:hAnsi="Times New Roman"/>
    </w:rPr>
  </w:style>
  <w:style w:type="character" w:styleId="patent">
    <w:name w:val="patent"/>
    <w:qFormat/>
    <w:rPr>
      <w:rFonts w:ascii="Times New Roman" w:hAnsi="Times New Roman"/>
    </w:rPr>
  </w:style>
  <w:style w:type="character" w:styleId="42">
    <w:name w:val="42"/>
    <w:qFormat/>
    <w:rPr>
      <w:rFonts w:ascii="Times New Roman" w:hAnsi="Times New Roman"/>
    </w:rPr>
  </w:style>
  <w:style w:type="character" w:styleId="DefaultPara">
    <w:name w:val="Default Para"/>
    <w:qFormat/>
    <w:rPr>
      <w:rFonts w:ascii="Times New Roman" w:hAnsi="Times New Roman"/>
    </w:rPr>
  </w:style>
  <w:style w:type="character" w:styleId="envelopeadd">
    <w:name w:val="envelope add"/>
    <w:qFormat/>
    <w:rPr>
      <w:rFonts w:ascii="Times New Roman" w:hAnsi="Times New Roman"/>
    </w:rPr>
  </w:style>
  <w:style w:type="character" w:styleId="INVOICEHD2">
    <w:name w:val="INVOICE HD2"/>
    <w:qFormat/>
    <w:rPr>
      <w:rFonts w:ascii="Times New Roman" w:hAnsi="Times New Roman"/>
    </w:rPr>
  </w:style>
  <w:style w:type="character" w:styleId="3">
    <w:name w:val="3"/>
    <w:qFormat/>
    <w:rPr>
      <w:rFonts w:ascii="Times New Roman" w:hAnsi="Times New Roman"/>
    </w:rPr>
  </w:style>
  <w:style w:type="character" w:styleId="LESSONFJ">
    <w:name w:val="LESSON F&amp;J"/>
    <w:qFormat/>
    <w:rPr>
      <w:rFonts w:ascii="Arial" w:hAnsi="Arial"/>
      <w:b/>
      <w:sz w:val="54"/>
    </w:rPr>
  </w:style>
  <w:style w:type="character" w:styleId="Style31">
    <w:name w:val="Style 3"/>
    <w:qFormat/>
    <w:rPr>
      <w:rFonts w:ascii="Times New Roman" w:hAnsi="Times New Roman"/>
      <w:sz w:val="42"/>
    </w:rPr>
  </w:style>
  <w:style w:type="character" w:styleId="Style41">
    <w:name w:val="Style 4"/>
    <w:qFormat/>
    <w:rPr>
      <w:rFonts w:ascii="Times New Roman" w:hAnsi="Times New Roman"/>
      <w:b/>
      <w:sz w:val="54"/>
    </w:rPr>
  </w:style>
  <w:style w:type="character" w:styleId="Style21">
    <w:name w:val="Style 2"/>
    <w:qFormat/>
    <w:rPr>
      <w:rFonts w:ascii="Times New Roman" w:hAnsi="Times New Roman"/>
      <w:i/>
      <w:sz w:val="34"/>
    </w:rPr>
  </w:style>
  <w:style w:type="character" w:styleId="Style51">
    <w:name w:val="Style 5"/>
    <w:qFormat/>
    <w:rPr>
      <w:rFonts w:ascii="Times New Roman" w:hAnsi="Times New Roman"/>
      <w:sz w:val="34"/>
    </w:rPr>
  </w:style>
  <w:style w:type="character" w:styleId="Style61">
    <w:name w:val="Style 6"/>
    <w:qFormat/>
    <w:rPr>
      <w:rFonts w:ascii="Times New Roman" w:hAnsi="Times New Roman"/>
      <w:i/>
      <w:sz w:val="28"/>
    </w:rPr>
  </w:style>
  <w:style w:type="character" w:styleId="RefSpacing">
    <w:name w:val="Ref Spacing"/>
    <w:qFormat/>
    <w:rPr>
      <w:rFonts w:ascii="Times New Roman" w:hAnsi="Times New Roman"/>
    </w:rPr>
  </w:style>
  <w:style w:type="character" w:styleId="Headings">
    <w:name w:val="Headings"/>
    <w:qFormat/>
    <w:rPr>
      <w:rFonts w:ascii="Times New Roman" w:hAnsi="Times New Roman"/>
      <w:b/>
      <w:u w:val="single"/>
    </w:rPr>
  </w:style>
  <w:style w:type="character" w:styleId="Contents7">
    <w:name w:val="Contents 7"/>
    <w:qFormat/>
    <w:rPr>
      <w:rFonts w:ascii="Times New Roman" w:hAnsi="Times New Roman"/>
      <w:sz w:val="39"/>
    </w:rPr>
  </w:style>
  <w:style w:type="character" w:styleId="Contents6">
    <w:name w:val="Contents 6"/>
    <w:qFormat/>
    <w:rPr>
      <w:rFonts w:ascii="Times New Roman" w:hAnsi="Times New Roman"/>
      <w:sz w:val="39"/>
    </w:rPr>
  </w:style>
  <w:style w:type="character" w:styleId="Contents4">
    <w:name w:val="Contents 4"/>
    <w:qFormat/>
    <w:rPr>
      <w:rFonts w:ascii="Times New Roman" w:hAnsi="Times New Roman"/>
      <w:sz w:val="39"/>
    </w:rPr>
  </w:style>
  <w:style w:type="character" w:styleId="Contents3">
    <w:name w:val="Contents 3"/>
    <w:qFormat/>
    <w:rPr>
      <w:rFonts w:ascii="Times New Roman" w:hAnsi="Times New Roman"/>
      <w:sz w:val="39"/>
    </w:rPr>
  </w:style>
  <w:style w:type="character" w:styleId="Contents2">
    <w:name w:val="Contents 2"/>
    <w:qFormat/>
    <w:rPr>
      <w:rFonts w:ascii="Times New Roman" w:hAnsi="Times New Roman"/>
      <w:sz w:val="39"/>
    </w:rPr>
  </w:style>
  <w:style w:type="character" w:styleId="Contents1">
    <w:name w:val="Contents 1"/>
    <w:qFormat/>
    <w:rPr>
      <w:rFonts w:ascii="Times New Roman" w:hAnsi="Times New Roman"/>
      <w:smallCaps/>
      <w:sz w:val="39"/>
    </w:rPr>
  </w:style>
  <w:style w:type="character" w:styleId="FOOTNOTEREF">
    <w:name w:val="FOOTNOTE REF"/>
    <w:qFormat/>
    <w:rPr>
      <w:rFonts w:ascii="Times New Roman" w:hAnsi="Times New Roman"/>
      <w:vertAlign w:val="superscript"/>
    </w:rPr>
  </w:style>
  <w:style w:type="character" w:styleId="FOOTNOTETEX">
    <w:name w:val="FOOTNOTE TEX"/>
    <w:qFormat/>
    <w:rPr>
      <w:rFonts w:ascii="Times New Roman" w:hAnsi="Times New Roman"/>
      <w:sz w:val="30"/>
    </w:rPr>
  </w:style>
  <w:style w:type="character" w:styleId="HEADING7">
    <w:name w:val="HEADING 7"/>
    <w:qFormat/>
    <w:rPr>
      <w:rFonts w:ascii="Times New Roman" w:hAnsi="Times New Roman"/>
      <w:sz w:val="39"/>
    </w:rPr>
  </w:style>
  <w:style w:type="character" w:styleId="HEADING6">
    <w:name w:val="HEADING 6"/>
    <w:qFormat/>
    <w:rPr>
      <w:rFonts w:ascii="Times New Roman" w:hAnsi="Times New Roman"/>
      <w:sz w:val="39"/>
    </w:rPr>
  </w:style>
  <w:style w:type="character" w:styleId="HEADING4">
    <w:name w:val="HEADING 4"/>
    <w:qFormat/>
    <w:rPr>
      <w:rFonts w:ascii="Times New Roman" w:hAnsi="Times New Roman"/>
      <w:sz w:val="36"/>
    </w:rPr>
  </w:style>
  <w:style w:type="character" w:styleId="NORMALINDEN">
    <w:name w:val="NORMAL INDEN"/>
    <w:qFormat/>
    <w:rPr>
      <w:rFonts w:ascii="Times New Roman" w:hAnsi="Times New Roman"/>
      <w:sz w:val="39"/>
    </w:rPr>
  </w:style>
  <w:style w:type="character" w:styleId="Hidden">
    <w:name w:val="Hidden"/>
    <w:qFormat/>
    <w:rPr>
      <w:rFonts w:ascii="Times New Roman" w:hAnsi="Times New Roman"/>
      <w:color w:val="FF0000"/>
      <w:sz w:val="39"/>
    </w:rPr>
  </w:style>
  <w:style w:type="character" w:styleId="Expanded">
    <w:name w:val="Expanded"/>
    <w:qFormat/>
    <w:rPr>
      <w:rFonts w:ascii="Times New Roman" w:hAnsi="Times New Roman"/>
      <w:b/>
      <w:smallCaps/>
      <w:spacing w:val="40"/>
      <w:sz w:val="39"/>
    </w:rPr>
  </w:style>
  <w:style w:type="character" w:styleId="Justified">
    <w:name w:val="Justified"/>
    <w:qFormat/>
    <w:rPr>
      <w:rFonts w:ascii="Times New Roman" w:hAnsi="Times New Roman"/>
      <w:sz w:val="39"/>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rPr>
      <w:rFonts w:ascii="Times New Roman" w:hAnsi="Times New Roman" w:eastAsia="Dutch 801" w:cs="Arial"/>
      <w:sz w:val="24"/>
      <w:szCs w:val="24"/>
    </w:rPr>
  </w:style>
  <w:style w:type="paragraph" w:styleId="FrameContents">
    <w:name w:val="Frame Contents"/>
    <w:basedOn w:val="Normal"/>
    <w:qFormat/>
    <w:pPr/>
    <w:rPr/>
  </w:style>
  <w:style w:type="paragraph" w:styleId="Document1">
    <w:name w:val="Document[1]"/>
    <w:qFormat/>
    <w:pPr>
      <w:keepNext w:val="true"/>
      <w:widowControl w:val="false"/>
      <w:bidi w:val="0"/>
      <w:jc w:val="center"/>
    </w:pPr>
    <w:rPr>
      <w:rFonts w:ascii="Times New Roman" w:hAnsi="Times New Roman" w:eastAsia="Dutch 801" w:cs="Arial"/>
      <w:b/>
      <w:color w:val="auto"/>
      <w:kern w:val="2"/>
      <w:sz w:val="36"/>
      <w:szCs w:val="24"/>
      <w:lang w:val="en-CA" w:eastAsia="zh-CN" w:bidi="hi-IN"/>
    </w:rPr>
  </w:style>
  <w:style w:type="paragraph" w:styleId="Document2">
    <w:name w:val="Document[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Document3">
    <w:name w:val="Document[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Document4">
    <w:name w:val="Document[4]"/>
    <w:qFormat/>
    <w:pPr>
      <w:widowControl w:val="false"/>
      <w:bidi w:val="0"/>
    </w:pPr>
    <w:rPr>
      <w:rFonts w:ascii="Times New Roman" w:hAnsi="Times New Roman" w:eastAsia="Dutch 801" w:cs="Arial"/>
      <w:b/>
      <w:i/>
      <w:color w:val="auto"/>
      <w:kern w:val="2"/>
      <w:sz w:val="24"/>
      <w:szCs w:val="24"/>
      <w:lang w:val="en-CA" w:eastAsia="zh-CN" w:bidi="hi-IN"/>
    </w:rPr>
  </w:style>
  <w:style w:type="paragraph" w:styleId="Document5">
    <w:name w:val="Document[5]"/>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Document6">
    <w:name w:val="Document[6]"/>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Document7">
    <w:name w:val="Document[7]"/>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Document8">
    <w:name w:val="Document[8]"/>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vel9">
    <w:name w:val="Level 9"/>
    <w:qFormat/>
    <w:pPr>
      <w:widowControl w:val="false"/>
      <w:bidi w:val="0"/>
      <w:ind w:start="-1440"/>
      <w:jc w:val="both"/>
    </w:pPr>
    <w:rPr>
      <w:rFonts w:ascii="Times New Roman" w:hAnsi="Times New Roman" w:eastAsia="Dutch 801" w:cs="Arial"/>
      <w:b/>
      <w:color w:val="auto"/>
      <w:kern w:val="2"/>
      <w:sz w:val="24"/>
      <w:szCs w:val="24"/>
      <w:lang w:val="en-CA" w:eastAsia="zh-CN" w:bidi="hi-IN"/>
    </w:rPr>
  </w:style>
  <w:style w:type="paragraph" w:styleId="Technical1">
    <w:name w:val="Technical[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Technical2">
    <w:name w:val="Technical[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Technical3">
    <w:name w:val="Technical[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4">
    <w:name w:val="Technical[4]"/>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5">
    <w:name w:val="Technical[5]"/>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6">
    <w:name w:val="Technical[6]"/>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7">
    <w:name w:val="Technical[7]"/>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8">
    <w:name w:val="Technical[8]"/>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Sections1">
    <w:name w:val="Sections[1]"/>
    <w:qFormat/>
    <w:pPr>
      <w:widowControl w:val="false"/>
      <w:bidi w:val="0"/>
      <w:spacing w:before="144" w:after="0"/>
      <w:jc w:val="both"/>
    </w:pPr>
    <w:rPr>
      <w:rFonts w:ascii="Times New Roman" w:hAnsi="Times New Roman" w:eastAsia="Dutch 801" w:cs="Arial"/>
      <w:b/>
      <w:color w:val="auto"/>
      <w:kern w:val="2"/>
      <w:sz w:val="28"/>
      <w:szCs w:val="24"/>
      <w:lang w:val="en-CA" w:eastAsia="zh-CN" w:bidi="hi-IN"/>
    </w:rPr>
  </w:style>
  <w:style w:type="paragraph" w:styleId="Sections2">
    <w:name w:val="Sections[2]"/>
    <w:qFormat/>
    <w:pPr>
      <w:widowControl w:val="false"/>
      <w:bidi w:val="0"/>
      <w:ind w:start="720"/>
      <w:jc w:val="both"/>
    </w:pPr>
    <w:rPr>
      <w:rFonts w:ascii="Times New Roman" w:hAnsi="Times New Roman" w:eastAsia="Dutch 801" w:cs="Arial"/>
      <w:b/>
      <w:color w:val="auto"/>
      <w:kern w:val="2"/>
      <w:sz w:val="23"/>
      <w:szCs w:val="24"/>
      <w:lang w:val="en-CA" w:eastAsia="zh-CN" w:bidi="hi-IN"/>
    </w:rPr>
  </w:style>
  <w:style w:type="paragraph" w:styleId="Sections3">
    <w:name w:val="Sections[3]"/>
    <w:qFormat/>
    <w:pPr>
      <w:widowControl w:val="false"/>
      <w:bidi w:val="0"/>
      <w:ind w:start="2160"/>
      <w:jc w:val="both"/>
    </w:pPr>
    <w:rPr>
      <w:rFonts w:ascii="Times New Roman" w:hAnsi="Times New Roman" w:eastAsia="Dutch 801" w:cs="Arial"/>
      <w:color w:val="auto"/>
      <w:kern w:val="2"/>
      <w:sz w:val="24"/>
      <w:szCs w:val="24"/>
      <w:lang w:val="en-CA" w:eastAsia="zh-CN" w:bidi="hi-IN"/>
    </w:rPr>
  </w:style>
  <w:style w:type="paragraph" w:styleId="Sections4">
    <w:name w:val="Sections[4]"/>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Sections5">
    <w:name w:val="Sections[5]"/>
    <w:qFormat/>
    <w:pPr>
      <w:widowControl w:val="false"/>
      <w:bidi w:val="0"/>
    </w:pPr>
    <w:rPr>
      <w:rFonts w:ascii="Times New Roman" w:hAnsi="Times New Roman" w:eastAsia="Dutch 801" w:cs="Arial"/>
      <w:color w:val="auto"/>
      <w:kern w:val="2"/>
      <w:sz w:val="23"/>
      <w:szCs w:val="24"/>
      <w:lang w:val="en-CA" w:eastAsia="zh-CN" w:bidi="hi-IN"/>
    </w:rPr>
  </w:style>
  <w:style w:type="paragraph" w:styleId="Sections6">
    <w:name w:val="Secti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7">
    <w:name w:val="Secti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8">
    <w:name w:val="Secti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1">
    <w:name w:val="1[1]"/>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2">
    <w:name w:val="1[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3">
    <w:name w:val="1[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4">
    <w:name w:val="1[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5">
    <w:name w:val="1[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6">
    <w:name w:val="1[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7">
    <w:name w:val="1[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8">
    <w:name w:val="1[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1">
    <w:name w:val="OutlineF&amp;J[1"/>
    <w:qFormat/>
    <w:pPr>
      <w:widowControl w:val="false"/>
      <w:tabs>
        <w:tab w:val="clear" w:pos="720"/>
        <w:tab w:val="left" w:pos="1440" w:leader="none"/>
        <w:tab w:val="left" w:pos="2880" w:leader="none"/>
        <w:tab w:val="left" w:pos="4320" w:leader="none"/>
        <w:tab w:val="left" w:pos="5760" w:leader="none"/>
        <w:tab w:val="left" w:pos="7200" w:leader="none"/>
        <w:tab w:val="left" w:pos="8640" w:leader="none"/>
      </w:tabs>
      <w:bidi w:val="0"/>
      <w:jc w:val="both"/>
    </w:pPr>
    <w:rPr>
      <w:rFonts w:ascii="Times New Roman" w:hAnsi="Times New Roman" w:eastAsia="Dutch 801" w:cs="Arial"/>
      <w:b/>
      <w:color w:val="auto"/>
      <w:kern w:val="2"/>
      <w:sz w:val="36"/>
      <w:szCs w:val="24"/>
      <w:lang w:val="en-CA" w:eastAsia="zh-CN" w:bidi="hi-IN"/>
    </w:rPr>
  </w:style>
  <w:style w:type="paragraph" w:styleId="OutlineFJ2">
    <w:name w:val="OutlineF&amp;J[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3">
    <w:name w:val="OutlineF&amp;J[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4">
    <w:name w:val="OutlineF&amp;J[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5">
    <w:name w:val="OutlineF&amp;J[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6">
    <w:name w:val="OutlineF&amp;J[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7">
    <w:name w:val="OutlineF&amp;J[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8">
    <w:name w:val="OutlineF&amp;J[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1">
    <w:name w:val="Lessons[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Lessons2">
    <w:name w:val="Lessons[2]"/>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ssons3">
    <w:name w:val="Lessons[3]"/>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Lessons4">
    <w:name w:val="Lessons[4]"/>
    <w:qFormat/>
    <w:pPr>
      <w:widowControl w:val="false"/>
      <w:bidi w:val="0"/>
      <w:jc w:val="center"/>
    </w:pPr>
    <w:rPr>
      <w:rFonts w:ascii="Times New Roman" w:hAnsi="Times New Roman" w:eastAsia="Dutch 801" w:cs="Arial"/>
      <w:i/>
      <w:color w:val="auto"/>
      <w:kern w:val="2"/>
      <w:sz w:val="24"/>
      <w:szCs w:val="24"/>
      <w:lang w:val="en-CA" w:eastAsia="zh-CN" w:bidi="hi-IN"/>
    </w:rPr>
  </w:style>
  <w:style w:type="paragraph" w:styleId="Lessons5">
    <w:name w:val="Lessons[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6">
    <w:name w:val="Less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7">
    <w:name w:val="Less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8">
    <w:name w:val="Less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jc w:val="both"/>
    </w:pPr>
    <w:rPr>
      <w:rFonts w:ascii="Times New Roman" w:hAnsi="Times New Roman" w:eastAsia="Dutch 801" w:cs="Arial"/>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jc w:val="both"/>
    </w:pPr>
    <w:rPr>
      <w:rFonts w:ascii="Times New Roman" w:hAnsi="Times New Roman" w:eastAsia="Dutch 801" w:cs="Arial"/>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jc w:val="both"/>
    </w:pPr>
    <w:rPr>
      <w:rFonts w:ascii="Times New Roman" w:hAnsi="Times New Roman" w:eastAsia="Dutch 801" w:cs="Arial"/>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jc w:val="both"/>
    </w:pPr>
    <w:rPr>
      <w:rFonts w:ascii="Times New Roman" w:hAnsi="Times New Roman" w:eastAsia="Dutch 801" w:cs="Arial"/>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jc w:val="both"/>
    </w:pPr>
    <w:rPr>
      <w:rFonts w:ascii="Times New Roman" w:hAnsi="Times New Roman" w:eastAsia="Dutch 801" w:cs="Arial"/>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jc w:val="both"/>
    </w:pPr>
    <w:rPr>
      <w:rFonts w:ascii="Times New Roman" w:hAnsi="Times New Roman" w:eastAsia="Dutch 801" w:cs="Arial"/>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jc w:val="both"/>
    </w:pPr>
    <w:rPr>
      <w:rFonts w:ascii="Times New Roman" w:hAnsi="Times New Roman" w:eastAsia="Dutch 801" w:cs="Arial"/>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jc w:val="both"/>
    </w:pPr>
    <w:rPr>
      <w:rFonts w:ascii="Times New Roman" w:hAnsi="Times New Roman" w:eastAsia="Dutch 801" w:cs="Arial"/>
      <w:color w:val="auto"/>
      <w:kern w:val="2"/>
      <w:sz w:val="24"/>
      <w:szCs w:val="24"/>
      <w:lang w:val="en-CA" w:eastAsia="zh-CN" w:bidi="hi-IN"/>
    </w:rPr>
  </w:style>
  <w:style w:type="paragraph" w:styleId="1">
    <w:name w:val="[1]"/>
    <w:qFormat/>
    <w:pPr>
      <w:widowControl w:val="false"/>
      <w:bidi w:val="0"/>
    </w:pPr>
    <w:rPr>
      <w:rFonts w:ascii="Times New Roman" w:hAnsi="Times New Roman" w:eastAsia="Dutch 801" w:cs="Arial"/>
      <w:color w:val="auto"/>
      <w:kern w:val="2"/>
      <w:sz w:val="24"/>
      <w:szCs w:val="24"/>
      <w:lang w:val="en-CA" w:eastAsia="zh-CN" w:bidi="hi-IN"/>
    </w:rPr>
  </w:style>
  <w:style w:type="paragraph" w:styleId="21">
    <w:name w:val="[2]"/>
    <w:qFormat/>
    <w:pPr>
      <w:widowControl w:val="false"/>
      <w:bidi w:val="0"/>
    </w:pPr>
    <w:rPr>
      <w:rFonts w:ascii="Times New Roman" w:hAnsi="Times New Roman" w:eastAsia="Dutch 801" w:cs="Arial"/>
      <w:color w:val="auto"/>
      <w:kern w:val="2"/>
      <w:sz w:val="24"/>
      <w:szCs w:val="24"/>
      <w:lang w:val="en-CA" w:eastAsia="zh-CN" w:bidi="hi-IN"/>
    </w:rPr>
  </w:style>
  <w:style w:type="paragraph" w:styleId="31">
    <w:name w:val="[3]"/>
    <w:qFormat/>
    <w:pPr>
      <w:widowControl w:val="false"/>
      <w:bidi w:val="0"/>
    </w:pPr>
    <w:rPr>
      <w:rFonts w:ascii="Times New Roman" w:hAnsi="Times New Roman" w:eastAsia="Dutch 801" w:cs="Arial"/>
      <w:color w:val="auto"/>
      <w:kern w:val="2"/>
      <w:sz w:val="24"/>
      <w:szCs w:val="24"/>
      <w:lang w:val="en-CA" w:eastAsia="zh-CN" w:bidi="hi-IN"/>
    </w:rPr>
  </w:style>
  <w:style w:type="paragraph" w:styleId="4">
    <w:name w:val="[4]"/>
    <w:qFormat/>
    <w:pPr>
      <w:widowControl w:val="false"/>
      <w:bidi w:val="0"/>
    </w:pPr>
    <w:rPr>
      <w:rFonts w:ascii="Times New Roman" w:hAnsi="Times New Roman" w:eastAsia="Dutch 801" w:cs="Arial"/>
      <w:color w:val="auto"/>
      <w:kern w:val="2"/>
      <w:sz w:val="24"/>
      <w:szCs w:val="24"/>
      <w:lang w:val="en-CA" w:eastAsia="zh-CN" w:bidi="hi-IN"/>
    </w:rPr>
  </w:style>
  <w:style w:type="paragraph" w:styleId="5">
    <w:name w:val="[5]"/>
    <w:qFormat/>
    <w:pPr>
      <w:widowControl w:val="false"/>
      <w:bidi w:val="0"/>
    </w:pPr>
    <w:rPr>
      <w:rFonts w:ascii="Times New Roman" w:hAnsi="Times New Roman" w:eastAsia="Dutch 801" w:cs="Arial"/>
      <w:color w:val="auto"/>
      <w:kern w:val="2"/>
      <w:sz w:val="24"/>
      <w:szCs w:val="24"/>
      <w:lang w:val="en-CA" w:eastAsia="zh-CN" w:bidi="hi-IN"/>
    </w:rPr>
  </w:style>
  <w:style w:type="paragraph" w:styleId="6">
    <w:name w:val="[6]"/>
    <w:qFormat/>
    <w:pPr>
      <w:widowControl w:val="false"/>
      <w:bidi w:val="0"/>
    </w:pPr>
    <w:rPr>
      <w:rFonts w:ascii="Times New Roman" w:hAnsi="Times New Roman" w:eastAsia="Dutch 801" w:cs="Arial"/>
      <w:color w:val="auto"/>
      <w:kern w:val="2"/>
      <w:sz w:val="24"/>
      <w:szCs w:val="24"/>
      <w:lang w:val="en-CA" w:eastAsia="zh-CN" w:bidi="hi-IN"/>
    </w:rPr>
  </w:style>
  <w:style w:type="paragraph" w:styleId="7">
    <w:name w:val="[7]"/>
    <w:qFormat/>
    <w:pPr>
      <w:widowControl w:val="false"/>
      <w:bidi w:val="0"/>
    </w:pPr>
    <w:rPr>
      <w:rFonts w:ascii="Times New Roman" w:hAnsi="Times New Roman" w:eastAsia="Dutch 801" w:cs="Arial"/>
      <w:color w:val="auto"/>
      <w:kern w:val="2"/>
      <w:sz w:val="24"/>
      <w:szCs w:val="24"/>
      <w:lang w:val="en-CA" w:eastAsia="zh-CN" w:bidi="hi-IN"/>
    </w:rPr>
  </w:style>
  <w:style w:type="paragraph" w:styleId="8">
    <w:name w:val="[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Dutch 801" w:cs="Arial"/>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Dutch 801" w:cs="Arial"/>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Dutch 801" w:cs="Arial"/>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Dutch 801" w:cs="Arial"/>
      <w:color w:val="auto"/>
      <w:kern w:val="2"/>
      <w:sz w:val="24"/>
      <w:szCs w:val="24"/>
      <w:lang w:val="en-CA" w:eastAsia="zh-CN" w:bidi="hi-IN"/>
    </w:rPr>
  </w:style>
  <w:style w:type="paragraph" w:styleId="SMALL">
    <w:name w:val="SMALL"/>
    <w:qFormat/>
    <w:pPr>
      <w:widowControl w:val="false"/>
      <w:bidi w:val="0"/>
    </w:pPr>
    <w:rPr>
      <w:rFonts w:ascii="Times New Roman" w:hAnsi="Times New Roman" w:eastAsia="Dutch 801" w:cs="Arial"/>
      <w:color w:val="auto"/>
      <w:kern w:val="2"/>
      <w:sz w:val="24"/>
      <w:szCs w:val="24"/>
      <w:lang w:val="en-CA" w:eastAsia="zh-CN" w:bidi="hi-IN"/>
    </w:rPr>
  </w:style>
  <w:style w:type="paragraph" w:styleId="FINE">
    <w:name w:val="FINE"/>
    <w:qFormat/>
    <w:pPr>
      <w:widowControl w:val="false"/>
      <w:bidi w:val="0"/>
    </w:pPr>
    <w:rPr>
      <w:rFonts w:ascii="Times New Roman" w:hAnsi="Times New Roman" w:eastAsia="Dutch 801" w:cs="Arial"/>
      <w:color w:val="auto"/>
      <w:kern w:val="2"/>
      <w:sz w:val="24"/>
      <w:szCs w:val="24"/>
      <w:lang w:val="en-CA" w:eastAsia="zh-CN" w:bidi="hi-IN"/>
    </w:rPr>
  </w:style>
  <w:style w:type="paragraph" w:styleId="LARGE">
    <w:name w:val="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Dutch 801" w:cs="Arial"/>
      <w:color w:val="auto"/>
      <w:kern w:val="2"/>
      <w:sz w:val="24"/>
      <w:szCs w:val="24"/>
      <w:lang w:val="en-CA" w:eastAsia="zh-CN" w:bidi="hi-IN"/>
    </w:rPr>
  </w:style>
  <w:style w:type="paragraph" w:styleId="WorkRequest">
    <w:name w:val="WorkReques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1">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4">
    <w:name w:val="*"/>
    <w:qFormat/>
    <w:pPr>
      <w:widowControl w:val="false"/>
      <w:bidi w:val="0"/>
    </w:pPr>
    <w:rPr>
      <w:rFonts w:ascii="Times New Roman" w:hAnsi="Times New Roman" w:eastAsia="Dutch 801" w:cs="Arial"/>
      <w:color w:val="auto"/>
      <w:kern w:val="2"/>
      <w:sz w:val="24"/>
      <w:szCs w:val="24"/>
      <w:lang w:val="en-CA" w:eastAsia="zh-CN" w:bidi="hi-IN"/>
    </w:rPr>
  </w:style>
  <w:style w:type="paragraph" w:styleId="Cover">
    <w:name w:val="Cover"/>
    <w:qFormat/>
    <w:pPr>
      <w:widowControl w:val="false"/>
      <w:bidi w:val="0"/>
    </w:pPr>
    <w:rPr>
      <w:rFonts w:ascii="Times New Roman" w:hAnsi="Times New Roman" w:eastAsia="Dutch 801" w:cs="Arial"/>
      <w:color w:val="auto"/>
      <w:kern w:val="2"/>
      <w:sz w:val="24"/>
      <w:szCs w:val="24"/>
      <w:lang w:val="en-CA" w:eastAsia="zh-CN" w:bidi="hi-IN"/>
    </w:rPr>
  </w:style>
  <w:style w:type="paragraph" w:styleId="FaxPress">
    <w:name w:val="FaxPress"/>
    <w:qFormat/>
    <w:pPr>
      <w:widowControl w:val="false"/>
      <w:bidi w:val="0"/>
    </w:pPr>
    <w:rPr>
      <w:rFonts w:ascii="Times New Roman" w:hAnsi="Times New Roman" w:eastAsia="Dutch 801" w:cs="Arial"/>
      <w:color w:val="auto"/>
      <w:kern w:val="2"/>
      <w:sz w:val="24"/>
      <w:szCs w:val="24"/>
      <w:lang w:val="en-CA" w:eastAsia="zh-CN" w:bidi="hi-IN"/>
    </w:rPr>
  </w:style>
  <w:style w:type="paragraph" w:styleId="LitIndex">
    <w:name w:val="Lit Index"/>
    <w:qFormat/>
    <w:pPr>
      <w:widowControl w:val="false"/>
      <w:bidi w:val="0"/>
    </w:pPr>
    <w:rPr>
      <w:rFonts w:ascii="Times New Roman" w:hAnsi="Times New Roman" w:eastAsia="Dutch 801" w:cs="Arial"/>
      <w:color w:val="auto"/>
      <w:kern w:val="2"/>
      <w:sz w:val="24"/>
      <w:szCs w:val="24"/>
      <w:lang w:val="en-CA" w:eastAsia="zh-CN" w:bidi="hi-IN"/>
    </w:rPr>
  </w:style>
  <w:style w:type="paragraph" w:styleId="Discontinue">
    <w:name w:val="Discontinue"/>
    <w:qFormat/>
    <w:pPr>
      <w:widowControl w:val="false"/>
      <w:bidi w:val="0"/>
    </w:pPr>
    <w:rPr>
      <w:rFonts w:ascii="Times New Roman" w:hAnsi="Times New Roman" w:eastAsia="Dutch 801" w:cs="Arial"/>
      <w:color w:val="auto"/>
      <w:kern w:val="2"/>
      <w:sz w:val="24"/>
      <w:szCs w:val="24"/>
      <w:lang w:val="en-CA" w:eastAsia="zh-CN" w:bidi="hi-IN"/>
    </w:rPr>
  </w:style>
  <w:style w:type="paragraph" w:styleId="Fax">
    <w:name w:val="Fax"/>
    <w:qFormat/>
    <w:pPr>
      <w:widowControl w:val="false"/>
      <w:bidi w:val="0"/>
    </w:pPr>
    <w:rPr>
      <w:rFonts w:ascii="Times New Roman" w:hAnsi="Times New Roman" w:eastAsia="Dutch 801" w:cs="Arial"/>
      <w:color w:val="auto"/>
      <w:kern w:val="2"/>
      <w:sz w:val="24"/>
      <w:szCs w:val="24"/>
      <w:lang w:val="en-CA" w:eastAsia="zh-CN" w:bidi="hi-IN"/>
    </w:rPr>
  </w:style>
  <w:style w:type="paragraph" w:styleId="01">
    <w:name w:val="01"/>
    <w:qFormat/>
    <w:pPr>
      <w:widowControl w:val="false"/>
      <w:bidi w:val="0"/>
    </w:pPr>
    <w:rPr>
      <w:rFonts w:ascii="Times New Roman" w:hAnsi="Times New Roman" w:eastAsia="Dutch 801" w:cs="Arial"/>
      <w:color w:val="auto"/>
      <w:kern w:val="2"/>
      <w:sz w:val="24"/>
      <w:szCs w:val="24"/>
      <w:lang w:val="en-CA" w:eastAsia="zh-CN" w:bidi="hi-IN"/>
    </w:rPr>
  </w:style>
  <w:style w:type="paragraph" w:styleId="38">
    <w:name w:val="38"/>
    <w:qFormat/>
    <w:pPr>
      <w:widowControl w:val="false"/>
      <w:bidi w:val="0"/>
    </w:pPr>
    <w:rPr>
      <w:rFonts w:ascii="Times New Roman" w:hAnsi="Times New Roman" w:eastAsia="Dutch 801" w:cs="Arial"/>
      <w:color w:val="auto"/>
      <w:kern w:val="2"/>
      <w:sz w:val="24"/>
      <w:szCs w:val="24"/>
      <w:lang w:val="en-CA" w:eastAsia="zh-CN" w:bidi="hi-IN"/>
    </w:rPr>
  </w:style>
  <w:style w:type="paragraph" w:styleId="47">
    <w:name w:val="47"/>
    <w:qFormat/>
    <w:pPr>
      <w:widowControl w:val="false"/>
      <w:bidi w:val="0"/>
    </w:pPr>
    <w:rPr>
      <w:rFonts w:ascii="Times New Roman" w:hAnsi="Times New Roman" w:eastAsia="Dutch 801" w:cs="Arial"/>
      <w:color w:val="auto"/>
      <w:kern w:val="2"/>
      <w:sz w:val="24"/>
      <w:szCs w:val="24"/>
      <w:lang w:val="en-CA" w:eastAsia="zh-CN" w:bidi="hi-IN"/>
    </w:rPr>
  </w:style>
  <w:style w:type="paragraph" w:styleId="48">
    <w:name w:val="48"/>
    <w:qFormat/>
    <w:pPr>
      <w:widowControl w:val="false"/>
      <w:bidi w:val="0"/>
    </w:pPr>
    <w:rPr>
      <w:rFonts w:ascii="Times New Roman" w:hAnsi="Times New Roman" w:eastAsia="Dutch 801" w:cs="Arial"/>
      <w:color w:val="auto"/>
      <w:kern w:val="2"/>
      <w:sz w:val="24"/>
      <w:szCs w:val="24"/>
      <w:lang w:val="en-CA" w:eastAsia="zh-CN" w:bidi="hi-IN"/>
    </w:rPr>
  </w:style>
  <w:style w:type="paragraph" w:styleId="49">
    <w:name w:val="49"/>
    <w:qFormat/>
    <w:pPr>
      <w:widowControl w:val="false"/>
      <w:bidi w:val="0"/>
    </w:pPr>
    <w:rPr>
      <w:rFonts w:ascii="Times New Roman" w:hAnsi="Times New Roman" w:eastAsia="Dutch 801" w:cs="Arial"/>
      <w:color w:val="auto"/>
      <w:kern w:val="2"/>
      <w:sz w:val="24"/>
      <w:szCs w:val="24"/>
      <w:lang w:val="en-CA" w:eastAsia="zh-CN" w:bidi="hi-IN"/>
    </w:rPr>
  </w:style>
  <w:style w:type="paragraph" w:styleId="50">
    <w:name w:val="50"/>
    <w:qFormat/>
    <w:pPr>
      <w:widowControl w:val="false"/>
      <w:bidi w:val="0"/>
    </w:pPr>
    <w:rPr>
      <w:rFonts w:ascii="Times New Roman" w:hAnsi="Times New Roman" w:eastAsia="Dutch 801" w:cs="Arial"/>
      <w:color w:val="auto"/>
      <w:kern w:val="2"/>
      <w:sz w:val="24"/>
      <w:szCs w:val="24"/>
      <w:lang w:val="en-CA" w:eastAsia="zh-CN" w:bidi="hi-IN"/>
    </w:rPr>
  </w:style>
  <w:style w:type="paragraph" w:styleId="51">
    <w:name w:val="51"/>
    <w:qFormat/>
    <w:pPr>
      <w:widowControl w:val="false"/>
      <w:bidi w:val="0"/>
    </w:pPr>
    <w:rPr>
      <w:rFonts w:ascii="Times New Roman" w:hAnsi="Times New Roman" w:eastAsia="Dutch 801" w:cs="Arial"/>
      <w:color w:val="auto"/>
      <w:kern w:val="2"/>
      <w:sz w:val="24"/>
      <w:szCs w:val="24"/>
      <w:lang w:val="en-CA" w:eastAsia="zh-CN" w:bidi="hi-IN"/>
    </w:rPr>
  </w:style>
  <w:style w:type="paragraph" w:styleId="52">
    <w:name w:val="52"/>
    <w:qFormat/>
    <w:pPr>
      <w:widowControl w:val="false"/>
      <w:bidi w:val="0"/>
    </w:pPr>
    <w:rPr>
      <w:rFonts w:ascii="Times New Roman" w:hAnsi="Times New Roman" w:eastAsia="Dutch 801" w:cs="Arial"/>
      <w:color w:val="auto"/>
      <w:kern w:val="2"/>
      <w:sz w:val="24"/>
      <w:szCs w:val="24"/>
      <w:lang w:val="en-CA" w:eastAsia="zh-CN" w:bidi="hi-IN"/>
    </w:rPr>
  </w:style>
  <w:style w:type="paragraph" w:styleId="53">
    <w:name w:val="53"/>
    <w:qFormat/>
    <w:pPr>
      <w:widowControl w:val="false"/>
      <w:bidi w:val="0"/>
    </w:pPr>
    <w:rPr>
      <w:rFonts w:ascii="Times New Roman" w:hAnsi="Times New Roman" w:eastAsia="Dutch 801" w:cs="Arial"/>
      <w:color w:val="auto"/>
      <w:kern w:val="2"/>
      <w:sz w:val="24"/>
      <w:szCs w:val="24"/>
      <w:lang w:val="en-CA" w:eastAsia="zh-CN" w:bidi="hi-IN"/>
    </w:rPr>
  </w:style>
  <w:style w:type="paragraph" w:styleId="02">
    <w:name w:val="02"/>
    <w:qFormat/>
    <w:pPr>
      <w:widowControl w:val="false"/>
      <w:bidi w:val="0"/>
    </w:pPr>
    <w:rPr>
      <w:rFonts w:ascii="Times New Roman" w:hAnsi="Times New Roman" w:eastAsia="Dutch 801" w:cs="Arial"/>
      <w:color w:val="auto"/>
      <w:kern w:val="2"/>
      <w:sz w:val="24"/>
      <w:szCs w:val="24"/>
      <w:lang w:val="en-CA" w:eastAsia="zh-CN" w:bidi="hi-IN"/>
    </w:rPr>
  </w:style>
  <w:style w:type="paragraph" w:styleId="SS">
    <w:name w:val="SS"/>
    <w:qFormat/>
    <w:pPr>
      <w:widowControl w:val="false"/>
      <w:bidi w:val="0"/>
    </w:pPr>
    <w:rPr>
      <w:rFonts w:ascii="Times New Roman" w:hAnsi="Times New Roman" w:eastAsia="Dutch 801" w:cs="Arial"/>
      <w:color w:val="auto"/>
      <w:kern w:val="2"/>
      <w:sz w:val="24"/>
      <w:szCs w:val="24"/>
      <w:lang w:val="en-CA" w:eastAsia="zh-CN" w:bidi="hi-IN"/>
    </w:rPr>
  </w:style>
  <w:style w:type="paragraph" w:styleId="03">
    <w:name w:val="03"/>
    <w:qFormat/>
    <w:pPr>
      <w:widowControl w:val="false"/>
      <w:bidi w:val="0"/>
    </w:pPr>
    <w:rPr>
      <w:rFonts w:ascii="Times New Roman" w:hAnsi="Times New Roman" w:eastAsia="Dutch 801" w:cs="Arial"/>
      <w:color w:val="auto"/>
      <w:kern w:val="2"/>
      <w:sz w:val="24"/>
      <w:szCs w:val="24"/>
      <w:lang w:val="en-CA" w:eastAsia="zh-CN" w:bidi="hi-IN"/>
    </w:rPr>
  </w:style>
  <w:style w:type="paragraph" w:styleId="04">
    <w:name w:val="04"/>
    <w:qFormat/>
    <w:pPr>
      <w:widowControl w:val="false"/>
      <w:bidi w:val="0"/>
    </w:pPr>
    <w:rPr>
      <w:rFonts w:ascii="Times New Roman" w:hAnsi="Times New Roman" w:eastAsia="Dutch 801" w:cs="Arial"/>
      <w:color w:val="auto"/>
      <w:kern w:val="2"/>
      <w:sz w:val="24"/>
      <w:szCs w:val="24"/>
      <w:lang w:val="en-CA" w:eastAsia="zh-CN" w:bidi="hi-IN"/>
    </w:rPr>
  </w:style>
  <w:style w:type="paragraph" w:styleId="05">
    <w:name w:val="05"/>
    <w:qFormat/>
    <w:pPr>
      <w:widowControl w:val="false"/>
      <w:bidi w:val="0"/>
    </w:pPr>
    <w:rPr>
      <w:rFonts w:ascii="Times New Roman" w:hAnsi="Times New Roman" w:eastAsia="Dutch 801" w:cs="Arial"/>
      <w:color w:val="auto"/>
      <w:kern w:val="2"/>
      <w:sz w:val="24"/>
      <w:szCs w:val="24"/>
      <w:lang w:val="en-CA" w:eastAsia="zh-CN" w:bidi="hi-IN"/>
    </w:rPr>
  </w:style>
  <w:style w:type="paragraph" w:styleId="07">
    <w:name w:val="07"/>
    <w:qFormat/>
    <w:pPr>
      <w:widowControl w:val="false"/>
      <w:bidi w:val="0"/>
    </w:pPr>
    <w:rPr>
      <w:rFonts w:ascii="Times New Roman" w:hAnsi="Times New Roman" w:eastAsia="Dutch 801" w:cs="Arial"/>
      <w:color w:val="auto"/>
      <w:kern w:val="2"/>
      <w:sz w:val="24"/>
      <w:szCs w:val="24"/>
      <w:lang w:val="en-CA" w:eastAsia="zh-CN" w:bidi="hi-IN"/>
    </w:rPr>
  </w:style>
  <w:style w:type="paragraph" w:styleId="08">
    <w:name w:val="08"/>
    <w:qFormat/>
    <w:pPr>
      <w:widowControl w:val="false"/>
      <w:bidi w:val="0"/>
    </w:pPr>
    <w:rPr>
      <w:rFonts w:ascii="Times New Roman" w:hAnsi="Times New Roman" w:eastAsia="Dutch 801" w:cs="Arial"/>
      <w:color w:val="auto"/>
      <w:kern w:val="2"/>
      <w:sz w:val="24"/>
      <w:szCs w:val="24"/>
      <w:lang w:val="en-CA" w:eastAsia="zh-CN" w:bidi="hi-IN"/>
    </w:rPr>
  </w:style>
  <w:style w:type="paragraph" w:styleId="10">
    <w:name w:val="10"/>
    <w:qFormat/>
    <w:pPr>
      <w:widowControl w:val="false"/>
      <w:bidi w:val="0"/>
    </w:pPr>
    <w:rPr>
      <w:rFonts w:ascii="Times New Roman" w:hAnsi="Times New Roman" w:eastAsia="Dutch 801" w:cs="Arial"/>
      <w:color w:val="auto"/>
      <w:kern w:val="2"/>
      <w:sz w:val="24"/>
      <w:szCs w:val="24"/>
      <w:lang w:val="en-CA" w:eastAsia="zh-CN" w:bidi="hi-IN"/>
    </w:rPr>
  </w:style>
  <w:style w:type="paragraph" w:styleId="111">
    <w:name w:val="11"/>
    <w:qFormat/>
    <w:pPr>
      <w:widowControl w:val="false"/>
      <w:bidi w:val="0"/>
    </w:pPr>
    <w:rPr>
      <w:rFonts w:ascii="Times New Roman" w:hAnsi="Times New Roman" w:eastAsia="Dutch 801" w:cs="Arial"/>
      <w:color w:val="auto"/>
      <w:kern w:val="2"/>
      <w:sz w:val="24"/>
      <w:szCs w:val="24"/>
      <w:lang w:val="en-CA" w:eastAsia="zh-CN" w:bidi="hi-IN"/>
    </w:rPr>
  </w:style>
  <w:style w:type="paragraph" w:styleId="121">
    <w:name w:val="12"/>
    <w:qFormat/>
    <w:pPr>
      <w:widowControl w:val="false"/>
      <w:bidi w:val="0"/>
    </w:pPr>
    <w:rPr>
      <w:rFonts w:ascii="Times New Roman" w:hAnsi="Times New Roman" w:eastAsia="Dutch 801" w:cs="Arial"/>
      <w:color w:val="auto"/>
      <w:kern w:val="2"/>
      <w:sz w:val="24"/>
      <w:szCs w:val="24"/>
      <w:lang w:val="en-CA" w:eastAsia="zh-CN" w:bidi="hi-IN"/>
    </w:rPr>
  </w:style>
  <w:style w:type="paragraph" w:styleId="131">
    <w:name w:val="13"/>
    <w:qFormat/>
    <w:pPr>
      <w:widowControl w:val="false"/>
      <w:bidi w:val="0"/>
    </w:pPr>
    <w:rPr>
      <w:rFonts w:ascii="Times New Roman" w:hAnsi="Times New Roman" w:eastAsia="Dutch 801" w:cs="Arial"/>
      <w:color w:val="auto"/>
      <w:kern w:val="2"/>
      <w:sz w:val="24"/>
      <w:szCs w:val="24"/>
      <w:lang w:val="en-CA" w:eastAsia="zh-CN" w:bidi="hi-IN"/>
    </w:rPr>
  </w:style>
  <w:style w:type="paragraph" w:styleId="151">
    <w:name w:val="15"/>
    <w:qFormat/>
    <w:pPr>
      <w:widowControl w:val="false"/>
      <w:bidi w:val="0"/>
    </w:pPr>
    <w:rPr>
      <w:rFonts w:ascii="Times New Roman" w:hAnsi="Times New Roman" w:eastAsia="Dutch 801" w:cs="Arial"/>
      <w:color w:val="auto"/>
      <w:kern w:val="2"/>
      <w:sz w:val="24"/>
      <w:szCs w:val="24"/>
      <w:lang w:val="en-CA" w:eastAsia="zh-CN" w:bidi="hi-IN"/>
    </w:rPr>
  </w:style>
  <w:style w:type="paragraph" w:styleId="161">
    <w:name w:val="16"/>
    <w:qFormat/>
    <w:pPr>
      <w:widowControl w:val="false"/>
      <w:bidi w:val="0"/>
    </w:pPr>
    <w:rPr>
      <w:rFonts w:ascii="Times New Roman" w:hAnsi="Times New Roman" w:eastAsia="Dutch 801" w:cs="Arial"/>
      <w:color w:val="auto"/>
      <w:kern w:val="2"/>
      <w:sz w:val="24"/>
      <w:szCs w:val="24"/>
      <w:lang w:val="en-CA" w:eastAsia="zh-CN" w:bidi="hi-IN"/>
    </w:rPr>
  </w:style>
  <w:style w:type="paragraph" w:styleId="171">
    <w:name w:val="17"/>
    <w:qFormat/>
    <w:pPr>
      <w:widowControl w:val="false"/>
      <w:bidi w:val="0"/>
    </w:pPr>
    <w:rPr>
      <w:rFonts w:ascii="Times New Roman" w:hAnsi="Times New Roman" w:eastAsia="Dutch 801" w:cs="Arial"/>
      <w:color w:val="auto"/>
      <w:kern w:val="2"/>
      <w:sz w:val="24"/>
      <w:szCs w:val="24"/>
      <w:lang w:val="en-CA" w:eastAsia="zh-CN" w:bidi="hi-IN"/>
    </w:rPr>
  </w:style>
  <w:style w:type="paragraph" w:styleId="181">
    <w:name w:val="18"/>
    <w:qFormat/>
    <w:pPr>
      <w:widowControl w:val="false"/>
      <w:bidi w:val="0"/>
    </w:pPr>
    <w:rPr>
      <w:rFonts w:ascii="Times New Roman" w:hAnsi="Times New Roman" w:eastAsia="Dutch 801" w:cs="Arial"/>
      <w:color w:val="auto"/>
      <w:kern w:val="2"/>
      <w:sz w:val="24"/>
      <w:szCs w:val="24"/>
      <w:lang w:val="en-CA" w:eastAsia="zh-CN" w:bidi="hi-IN"/>
    </w:rPr>
  </w:style>
  <w:style w:type="paragraph" w:styleId="06">
    <w:name w:val="06"/>
    <w:qFormat/>
    <w:pPr>
      <w:widowControl w:val="false"/>
      <w:bidi w:val="0"/>
    </w:pPr>
    <w:rPr>
      <w:rFonts w:ascii="Times New Roman" w:hAnsi="Times New Roman" w:eastAsia="Dutch 801" w:cs="Arial"/>
      <w:color w:val="auto"/>
      <w:kern w:val="2"/>
      <w:sz w:val="24"/>
      <w:szCs w:val="24"/>
      <w:lang w:val="en-CA" w:eastAsia="zh-CN" w:bidi="hi-IN"/>
    </w:rPr>
  </w:style>
  <w:style w:type="paragraph" w:styleId="19">
    <w:name w:val="19"/>
    <w:qFormat/>
    <w:pPr>
      <w:widowControl w:val="false"/>
      <w:bidi w:val="0"/>
    </w:pPr>
    <w:rPr>
      <w:rFonts w:ascii="Times New Roman" w:hAnsi="Times New Roman" w:eastAsia="Dutch 801" w:cs="Arial"/>
      <w:color w:val="auto"/>
      <w:kern w:val="2"/>
      <w:sz w:val="24"/>
      <w:szCs w:val="24"/>
      <w:lang w:val="en-CA" w:eastAsia="zh-CN" w:bidi="hi-IN"/>
    </w:rPr>
  </w:style>
  <w:style w:type="paragraph" w:styleId="36">
    <w:name w:val="36"/>
    <w:qFormat/>
    <w:pPr>
      <w:widowControl w:val="false"/>
      <w:bidi w:val="0"/>
    </w:pPr>
    <w:rPr>
      <w:rFonts w:ascii="Times New Roman" w:hAnsi="Times New Roman" w:eastAsia="Dutch 801" w:cs="Arial"/>
      <w:color w:val="auto"/>
      <w:kern w:val="2"/>
      <w:sz w:val="24"/>
      <w:szCs w:val="24"/>
      <w:lang w:val="en-CA" w:eastAsia="zh-CN" w:bidi="hi-IN"/>
    </w:rPr>
  </w:style>
  <w:style w:type="paragraph" w:styleId="44">
    <w:name w:val="44"/>
    <w:qFormat/>
    <w:pPr>
      <w:widowControl w:val="false"/>
      <w:bidi w:val="0"/>
    </w:pPr>
    <w:rPr>
      <w:rFonts w:ascii="Times New Roman" w:hAnsi="Times New Roman" w:eastAsia="Dutch 801" w:cs="Arial"/>
      <w:color w:val="auto"/>
      <w:kern w:val="2"/>
      <w:sz w:val="24"/>
      <w:szCs w:val="24"/>
      <w:lang w:val="en-CA" w:eastAsia="zh-CN" w:bidi="hi-IN"/>
    </w:rPr>
  </w:style>
  <w:style w:type="paragraph" w:styleId="92">
    <w:name w:val="92"/>
    <w:qFormat/>
    <w:pPr>
      <w:widowControl w:val="false"/>
      <w:bidi w:val="0"/>
    </w:pPr>
    <w:rPr>
      <w:rFonts w:ascii="Times New Roman" w:hAnsi="Times New Roman" w:eastAsia="Dutch 801" w:cs="Arial"/>
      <w:color w:val="auto"/>
      <w:kern w:val="2"/>
      <w:sz w:val="24"/>
      <w:szCs w:val="24"/>
      <w:lang w:val="en-CA" w:eastAsia="zh-CN" w:bidi="hi-IN"/>
    </w:rPr>
  </w:style>
  <w:style w:type="paragraph" w:styleId="93">
    <w:name w:val="93"/>
    <w:qFormat/>
    <w:pPr>
      <w:widowControl w:val="false"/>
      <w:bidi w:val="0"/>
    </w:pPr>
    <w:rPr>
      <w:rFonts w:ascii="Times New Roman" w:hAnsi="Times New Roman" w:eastAsia="Dutch 801" w:cs="Arial"/>
      <w:color w:val="auto"/>
      <w:kern w:val="2"/>
      <w:sz w:val="24"/>
      <w:szCs w:val="24"/>
      <w:lang w:val="en-CA" w:eastAsia="zh-CN" w:bidi="hi-IN"/>
    </w:rPr>
  </w:style>
  <w:style w:type="paragraph" w:styleId="41">
    <w:name w:val="41"/>
    <w:qFormat/>
    <w:pPr>
      <w:widowControl w:val="false"/>
      <w:bidi w:val="0"/>
    </w:pPr>
    <w:rPr>
      <w:rFonts w:ascii="Times New Roman" w:hAnsi="Times New Roman" w:eastAsia="Dutch 801" w:cs="Arial"/>
      <w:color w:val="auto"/>
      <w:kern w:val="2"/>
      <w:sz w:val="24"/>
      <w:szCs w:val="24"/>
      <w:lang w:val="en-CA" w:eastAsia="zh-CN" w:bidi="hi-IN"/>
    </w:rPr>
  </w:style>
  <w:style w:type="paragraph" w:styleId="45">
    <w:name w:val="45"/>
    <w:qFormat/>
    <w:pPr>
      <w:widowControl w:val="false"/>
      <w:bidi w:val="0"/>
    </w:pPr>
    <w:rPr>
      <w:rFonts w:ascii="Times New Roman" w:hAnsi="Times New Roman" w:eastAsia="Dutch 801" w:cs="Arial"/>
      <w:color w:val="auto"/>
      <w:kern w:val="2"/>
      <w:sz w:val="24"/>
      <w:szCs w:val="24"/>
      <w:lang w:val="en-CA" w:eastAsia="zh-CN" w:bidi="hi-IN"/>
    </w:rPr>
  </w:style>
  <w:style w:type="paragraph" w:styleId="46">
    <w:name w:val="46"/>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Mem">
    <w:name w:val="Closing Mem"/>
    <w:qFormat/>
    <w:pPr>
      <w:widowControl w:val="false"/>
      <w:bidi w:val="0"/>
    </w:pPr>
    <w:rPr>
      <w:rFonts w:ascii="Times New Roman" w:hAnsi="Times New Roman" w:eastAsia="Dutch 801" w:cs="Arial"/>
      <w:color w:val="auto"/>
      <w:kern w:val="2"/>
      <w:sz w:val="24"/>
      <w:szCs w:val="24"/>
      <w:lang w:val="en-CA" w:eastAsia="zh-CN" w:bidi="hi-IN"/>
    </w:rPr>
  </w:style>
  <w:style w:type="paragraph" w:styleId="11x8TIMES">
    <w:name w:val="11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manua">
    <w:name w:val="LETTER manua"/>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autod">
    <w:name w:val="LETTER autod"/>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ret">
    <w:name w:val="ENVELOPE ret"/>
    <w:qFormat/>
    <w:pPr>
      <w:widowControl w:val="false"/>
      <w:bidi w:val="0"/>
    </w:pPr>
    <w:rPr>
      <w:rFonts w:ascii="Times New Roman" w:hAnsi="Times New Roman" w:eastAsia="Dutch 801" w:cs="Arial"/>
      <w:color w:val="auto"/>
      <w:kern w:val="2"/>
      <w:sz w:val="24"/>
      <w:szCs w:val="24"/>
      <w:lang w:val="en-CA" w:eastAsia="zh-CN" w:bidi="hi-IN"/>
    </w:rPr>
  </w:style>
  <w:style w:type="paragraph" w:styleId="Distribution">
    <w:name w:val="Distribution"/>
    <w:qFormat/>
    <w:pPr>
      <w:widowControl w:val="false"/>
      <w:bidi w:val="0"/>
    </w:pPr>
    <w:rPr>
      <w:rFonts w:ascii="Times New Roman" w:hAnsi="Times New Roman" w:eastAsia="Dutch 801" w:cs="Arial"/>
      <w:color w:val="auto"/>
      <w:kern w:val="2"/>
      <w:sz w:val="24"/>
      <w:szCs w:val="24"/>
      <w:lang w:val="en-CA" w:eastAsia="zh-CN" w:bidi="hi-IN"/>
    </w:rPr>
  </w:style>
  <w:style w:type="paragraph" w:styleId="MEMOLETT">
    <w:name w:val="MEMOLETT"/>
    <w:qFormat/>
    <w:pPr>
      <w:widowControl w:val="false"/>
      <w:bidi w:val="0"/>
    </w:pPr>
    <w:rPr>
      <w:rFonts w:ascii="Times New Roman" w:hAnsi="Times New Roman" w:eastAsia="Dutch 801" w:cs="Arial"/>
      <w:color w:val="auto"/>
      <w:kern w:val="2"/>
      <w:sz w:val="24"/>
      <w:szCs w:val="24"/>
      <w:lang w:val="en-CA" w:eastAsia="zh-CN" w:bidi="hi-IN"/>
    </w:rPr>
  </w:style>
  <w:style w:type="paragraph" w:styleId="14x8ELITE">
    <w:name w:val="14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11x8PICA">
    <w:name w:val="11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14x8TIMES">
    <w:name w:val="14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14x8PICA">
    <w:name w:val="14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T">
    <w:name w:val="Closing Ag 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da">
    <w:name w:val="Closing Agda"/>
    <w:qFormat/>
    <w:pPr>
      <w:widowControl w:val="false"/>
      <w:bidi w:val="0"/>
    </w:pPr>
    <w:rPr>
      <w:rFonts w:ascii="Times New Roman" w:hAnsi="Times New Roman" w:eastAsia="Dutch 801" w:cs="Arial"/>
      <w:color w:val="auto"/>
      <w:kern w:val="2"/>
      <w:sz w:val="24"/>
      <w:szCs w:val="24"/>
      <w:lang w:val="en-CA" w:eastAsia="zh-CN" w:bidi="hi-IN"/>
    </w:rPr>
  </w:style>
  <w:style w:type="paragraph" w:styleId="Signat--WPCN">
    <w:name w:val="Signat--WPCN"/>
    <w:qFormat/>
    <w:pPr>
      <w:widowControl w:val="false"/>
      <w:bidi w:val="0"/>
    </w:pPr>
    <w:rPr>
      <w:rFonts w:ascii="Times New Roman" w:hAnsi="Times New Roman" w:eastAsia="Dutch 801" w:cs="Arial"/>
      <w:color w:val="auto"/>
      <w:kern w:val="2"/>
      <w:sz w:val="24"/>
      <w:szCs w:val="24"/>
      <w:lang w:val="en-CA" w:eastAsia="zh-CN" w:bidi="hi-IN"/>
    </w:rPr>
  </w:style>
  <w:style w:type="paragraph" w:styleId="11x8ELITE">
    <w:name w:val="11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MEMODRAFT">
    <w:name w:val="MEMO DRAF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
    <w:name w:val="CLOSING"/>
    <w:qFormat/>
    <w:pPr>
      <w:widowControl w:val="false"/>
      <w:bidi w:val="0"/>
    </w:pPr>
    <w:rPr>
      <w:rFonts w:ascii="Times New Roman" w:hAnsi="Times New Roman" w:eastAsia="Dutch 801" w:cs="Arial"/>
      <w:color w:val="auto"/>
      <w:kern w:val="2"/>
      <w:sz w:val="24"/>
      <w:szCs w:val="24"/>
      <w:lang w:val="en-CA" w:eastAsia="zh-CN" w:bidi="hi-IN"/>
    </w:rPr>
  </w:style>
  <w:style w:type="paragraph" w:styleId="211">
    <w:name w:val="21"/>
    <w:qFormat/>
    <w:pPr>
      <w:widowControl w:val="false"/>
      <w:bidi w:val="0"/>
    </w:pPr>
    <w:rPr>
      <w:rFonts w:ascii="Times New Roman" w:hAnsi="Times New Roman" w:eastAsia="Dutch 801" w:cs="Arial"/>
      <w:color w:val="auto"/>
      <w:kern w:val="2"/>
      <w:sz w:val="24"/>
      <w:szCs w:val="24"/>
      <w:lang w:val="en-CA" w:eastAsia="zh-CN" w:bidi="hi-IN"/>
    </w:rPr>
  </w:style>
  <w:style w:type="paragraph" w:styleId="22">
    <w:name w:val="22"/>
    <w:qFormat/>
    <w:pPr>
      <w:widowControl w:val="false"/>
      <w:bidi w:val="0"/>
    </w:pPr>
    <w:rPr>
      <w:rFonts w:ascii="Times New Roman" w:hAnsi="Times New Roman" w:eastAsia="Dutch 801" w:cs="Arial"/>
      <w:color w:val="auto"/>
      <w:kern w:val="2"/>
      <w:sz w:val="24"/>
      <w:szCs w:val="24"/>
      <w:lang w:val="en-CA" w:eastAsia="zh-CN" w:bidi="hi-IN"/>
    </w:rPr>
  </w:style>
  <w:style w:type="paragraph" w:styleId="23">
    <w:name w:val="23"/>
    <w:qFormat/>
    <w:pPr>
      <w:widowControl w:val="false"/>
      <w:bidi w:val="0"/>
    </w:pPr>
    <w:rPr>
      <w:rFonts w:ascii="Times New Roman" w:hAnsi="Times New Roman" w:eastAsia="Dutch 801" w:cs="Arial"/>
      <w:color w:val="auto"/>
      <w:kern w:val="2"/>
      <w:sz w:val="24"/>
      <w:szCs w:val="24"/>
      <w:lang w:val="en-CA" w:eastAsia="zh-CN" w:bidi="hi-IN"/>
    </w:rPr>
  </w:style>
  <w:style w:type="paragraph" w:styleId="24">
    <w:name w:val="24"/>
    <w:qFormat/>
    <w:pPr>
      <w:widowControl w:val="false"/>
      <w:bidi w:val="0"/>
    </w:pPr>
    <w:rPr>
      <w:rFonts w:ascii="Times New Roman" w:hAnsi="Times New Roman" w:eastAsia="Dutch 801" w:cs="Arial"/>
      <w:color w:val="auto"/>
      <w:kern w:val="2"/>
      <w:sz w:val="24"/>
      <w:szCs w:val="24"/>
      <w:lang w:val="en-CA" w:eastAsia="zh-CN" w:bidi="hi-IN"/>
    </w:rPr>
  </w:style>
  <w:style w:type="paragraph" w:styleId="09">
    <w:name w:val="09"/>
    <w:qFormat/>
    <w:pPr>
      <w:widowControl w:val="false"/>
      <w:bidi w:val="0"/>
    </w:pPr>
    <w:rPr>
      <w:rFonts w:ascii="Times New Roman" w:hAnsi="Times New Roman" w:eastAsia="Dutch 801" w:cs="Arial"/>
      <w:color w:val="auto"/>
      <w:kern w:val="2"/>
      <w:sz w:val="24"/>
      <w:szCs w:val="24"/>
      <w:lang w:val="en-CA" w:eastAsia="zh-CN" w:bidi="hi-IN"/>
    </w:rPr>
  </w:style>
  <w:style w:type="paragraph" w:styleId="141">
    <w:name w:val="14"/>
    <w:qFormat/>
    <w:pPr>
      <w:widowControl w:val="false"/>
      <w:bidi w:val="0"/>
    </w:pPr>
    <w:rPr>
      <w:rFonts w:ascii="Times New Roman" w:hAnsi="Times New Roman" w:eastAsia="Dutch 801" w:cs="Arial"/>
      <w:color w:val="auto"/>
      <w:kern w:val="2"/>
      <w:sz w:val="24"/>
      <w:szCs w:val="24"/>
      <w:lang w:val="en-CA" w:eastAsia="zh-CN" w:bidi="hi-IN"/>
    </w:rPr>
  </w:style>
  <w:style w:type="paragraph" w:styleId="20">
    <w:name w:val="20"/>
    <w:qFormat/>
    <w:pPr>
      <w:widowControl w:val="false"/>
      <w:bidi w:val="0"/>
    </w:pPr>
    <w:rPr>
      <w:rFonts w:ascii="Times New Roman" w:hAnsi="Times New Roman" w:eastAsia="Dutch 801" w:cs="Arial"/>
      <w:color w:val="auto"/>
      <w:kern w:val="2"/>
      <w:sz w:val="24"/>
      <w:szCs w:val="24"/>
      <w:lang w:val="en-CA" w:eastAsia="zh-CN" w:bidi="hi-IN"/>
    </w:rPr>
  </w:style>
  <w:style w:type="paragraph" w:styleId="25">
    <w:name w:val="25"/>
    <w:qFormat/>
    <w:pPr>
      <w:widowControl w:val="false"/>
      <w:bidi w:val="0"/>
    </w:pPr>
    <w:rPr>
      <w:rFonts w:ascii="Times New Roman" w:hAnsi="Times New Roman" w:eastAsia="Dutch 801" w:cs="Arial"/>
      <w:color w:val="auto"/>
      <w:kern w:val="2"/>
      <w:sz w:val="24"/>
      <w:szCs w:val="24"/>
      <w:lang w:val="en-CA" w:eastAsia="zh-CN" w:bidi="hi-IN"/>
    </w:rPr>
  </w:style>
  <w:style w:type="paragraph" w:styleId="26">
    <w:name w:val="26"/>
    <w:qFormat/>
    <w:pPr>
      <w:widowControl w:val="false"/>
      <w:bidi w:val="0"/>
    </w:pPr>
    <w:rPr>
      <w:rFonts w:ascii="Times New Roman" w:hAnsi="Times New Roman" w:eastAsia="Dutch 801" w:cs="Arial"/>
      <w:color w:val="auto"/>
      <w:kern w:val="2"/>
      <w:sz w:val="24"/>
      <w:szCs w:val="24"/>
      <w:lang w:val="en-CA" w:eastAsia="zh-CN" w:bidi="hi-IN"/>
    </w:rPr>
  </w:style>
  <w:style w:type="paragraph" w:styleId="27">
    <w:name w:val="27"/>
    <w:qFormat/>
    <w:pPr>
      <w:widowControl w:val="false"/>
      <w:bidi w:val="0"/>
    </w:pPr>
    <w:rPr>
      <w:rFonts w:ascii="Times New Roman" w:hAnsi="Times New Roman" w:eastAsia="Dutch 801" w:cs="Arial"/>
      <w:color w:val="auto"/>
      <w:kern w:val="2"/>
      <w:sz w:val="24"/>
      <w:szCs w:val="24"/>
      <w:lang w:val="en-CA" w:eastAsia="zh-CN" w:bidi="hi-IN"/>
    </w:rPr>
  </w:style>
  <w:style w:type="paragraph" w:styleId="28">
    <w:name w:val="28"/>
    <w:qFormat/>
    <w:pPr>
      <w:widowControl w:val="false"/>
      <w:bidi w:val="0"/>
    </w:pPr>
    <w:rPr>
      <w:rFonts w:ascii="Times New Roman" w:hAnsi="Times New Roman" w:eastAsia="Dutch 801" w:cs="Arial"/>
      <w:color w:val="auto"/>
      <w:kern w:val="2"/>
      <w:sz w:val="24"/>
      <w:szCs w:val="24"/>
      <w:lang w:val="en-CA" w:eastAsia="zh-CN" w:bidi="hi-IN"/>
    </w:rPr>
  </w:style>
  <w:style w:type="paragraph" w:styleId="29">
    <w:name w:val="29"/>
    <w:qFormat/>
    <w:pPr>
      <w:widowControl w:val="false"/>
      <w:bidi w:val="0"/>
    </w:pPr>
    <w:rPr>
      <w:rFonts w:ascii="Times New Roman" w:hAnsi="Times New Roman" w:eastAsia="Dutch 801" w:cs="Arial"/>
      <w:color w:val="auto"/>
      <w:kern w:val="2"/>
      <w:sz w:val="24"/>
      <w:szCs w:val="24"/>
      <w:lang w:val="en-CA" w:eastAsia="zh-CN" w:bidi="hi-IN"/>
    </w:rPr>
  </w:style>
  <w:style w:type="paragraph" w:styleId="30">
    <w:name w:val="30"/>
    <w:qFormat/>
    <w:pPr>
      <w:widowControl w:val="false"/>
      <w:bidi w:val="0"/>
    </w:pPr>
    <w:rPr>
      <w:rFonts w:ascii="Times New Roman" w:hAnsi="Times New Roman" w:eastAsia="Dutch 801" w:cs="Arial"/>
      <w:color w:val="auto"/>
      <w:kern w:val="2"/>
      <w:sz w:val="24"/>
      <w:szCs w:val="24"/>
      <w:lang w:val="en-CA" w:eastAsia="zh-CN" w:bidi="hi-IN"/>
    </w:rPr>
  </w:style>
  <w:style w:type="paragraph" w:styleId="311">
    <w:name w:val="31"/>
    <w:qFormat/>
    <w:pPr>
      <w:widowControl w:val="false"/>
      <w:bidi w:val="0"/>
    </w:pPr>
    <w:rPr>
      <w:rFonts w:ascii="Times New Roman" w:hAnsi="Times New Roman" w:eastAsia="Dutch 801" w:cs="Arial"/>
      <w:color w:val="auto"/>
      <w:kern w:val="2"/>
      <w:sz w:val="24"/>
      <w:szCs w:val="24"/>
      <w:lang w:val="en-CA" w:eastAsia="zh-CN" w:bidi="hi-IN"/>
    </w:rPr>
  </w:style>
  <w:style w:type="paragraph" w:styleId="32">
    <w:name w:val="32"/>
    <w:qFormat/>
    <w:pPr>
      <w:widowControl w:val="false"/>
      <w:bidi w:val="0"/>
    </w:pPr>
    <w:rPr>
      <w:rFonts w:ascii="Times New Roman" w:hAnsi="Times New Roman" w:eastAsia="Dutch 801" w:cs="Arial"/>
      <w:color w:val="auto"/>
      <w:kern w:val="2"/>
      <w:sz w:val="24"/>
      <w:szCs w:val="24"/>
      <w:lang w:val="en-CA" w:eastAsia="zh-CN" w:bidi="hi-IN"/>
    </w:rPr>
  </w:style>
  <w:style w:type="paragraph" w:styleId="61">
    <w:name w:val="61"/>
    <w:qFormat/>
    <w:pPr>
      <w:widowControl w:val="false"/>
      <w:bidi w:val="0"/>
    </w:pPr>
    <w:rPr>
      <w:rFonts w:ascii="Times New Roman" w:hAnsi="Times New Roman" w:eastAsia="Dutch 801" w:cs="Arial"/>
      <w:color w:val="auto"/>
      <w:kern w:val="2"/>
      <w:sz w:val="24"/>
      <w:szCs w:val="24"/>
      <w:lang w:val="en-CA" w:eastAsia="zh-CN" w:bidi="hi-IN"/>
    </w:rPr>
  </w:style>
  <w:style w:type="paragraph" w:styleId="62">
    <w:name w:val="62"/>
    <w:qFormat/>
    <w:pPr>
      <w:widowControl w:val="false"/>
      <w:bidi w:val="0"/>
    </w:pPr>
    <w:rPr>
      <w:rFonts w:ascii="Times New Roman" w:hAnsi="Times New Roman" w:eastAsia="Dutch 801" w:cs="Arial"/>
      <w:color w:val="auto"/>
      <w:kern w:val="2"/>
      <w:sz w:val="24"/>
      <w:szCs w:val="24"/>
      <w:lang w:val="en-CA" w:eastAsia="zh-CN" w:bidi="hi-IN"/>
    </w:rPr>
  </w:style>
  <w:style w:type="paragraph" w:styleId="63">
    <w:name w:val="63"/>
    <w:qFormat/>
    <w:pPr>
      <w:widowControl w:val="false"/>
      <w:bidi w:val="0"/>
    </w:pPr>
    <w:rPr>
      <w:rFonts w:ascii="Times New Roman" w:hAnsi="Times New Roman" w:eastAsia="Dutch 801" w:cs="Arial"/>
      <w:color w:val="auto"/>
      <w:kern w:val="2"/>
      <w:sz w:val="24"/>
      <w:szCs w:val="24"/>
      <w:lang w:val="en-CA" w:eastAsia="zh-CN" w:bidi="hi-IN"/>
    </w:rPr>
  </w:style>
  <w:style w:type="paragraph" w:styleId="64">
    <w:name w:val="64"/>
    <w:qFormat/>
    <w:pPr>
      <w:widowControl w:val="false"/>
      <w:bidi w:val="0"/>
    </w:pPr>
    <w:rPr>
      <w:rFonts w:ascii="Times New Roman" w:hAnsi="Times New Roman" w:eastAsia="Dutch 801" w:cs="Arial"/>
      <w:color w:val="auto"/>
      <w:kern w:val="2"/>
      <w:sz w:val="24"/>
      <w:szCs w:val="24"/>
      <w:lang w:val="en-CA" w:eastAsia="zh-CN" w:bidi="hi-IN"/>
    </w:rPr>
  </w:style>
  <w:style w:type="paragraph" w:styleId="65">
    <w:name w:val="65"/>
    <w:qFormat/>
    <w:pPr>
      <w:widowControl w:val="false"/>
      <w:bidi w:val="0"/>
    </w:pPr>
    <w:rPr>
      <w:rFonts w:ascii="Times New Roman" w:hAnsi="Times New Roman" w:eastAsia="Dutch 801" w:cs="Arial"/>
      <w:color w:val="auto"/>
      <w:kern w:val="2"/>
      <w:sz w:val="24"/>
      <w:szCs w:val="24"/>
      <w:lang w:val="en-CA" w:eastAsia="zh-CN" w:bidi="hi-IN"/>
    </w:rPr>
  </w:style>
  <w:style w:type="paragraph" w:styleId="88">
    <w:name w:val="88"/>
    <w:qFormat/>
    <w:pPr>
      <w:widowControl w:val="false"/>
      <w:bidi w:val="0"/>
    </w:pPr>
    <w:rPr>
      <w:rFonts w:ascii="Times New Roman" w:hAnsi="Times New Roman" w:eastAsia="Dutch 801" w:cs="Arial"/>
      <w:color w:val="auto"/>
      <w:kern w:val="2"/>
      <w:sz w:val="24"/>
      <w:szCs w:val="24"/>
      <w:lang w:val="en-CA" w:eastAsia="zh-CN" w:bidi="hi-IN"/>
    </w:rPr>
  </w:style>
  <w:style w:type="paragraph" w:styleId="89">
    <w:name w:val="89"/>
    <w:qFormat/>
    <w:pPr>
      <w:widowControl w:val="false"/>
      <w:bidi w:val="0"/>
    </w:pPr>
    <w:rPr>
      <w:rFonts w:ascii="Times New Roman" w:hAnsi="Times New Roman" w:eastAsia="Dutch 801" w:cs="Arial"/>
      <w:color w:val="auto"/>
      <w:kern w:val="2"/>
      <w:sz w:val="24"/>
      <w:szCs w:val="24"/>
      <w:lang w:val="en-CA" w:eastAsia="zh-CN" w:bidi="hi-IN"/>
    </w:rPr>
  </w:style>
  <w:style w:type="paragraph" w:styleId="90">
    <w:name w:val="90"/>
    <w:qFormat/>
    <w:pPr>
      <w:widowControl w:val="false"/>
      <w:bidi w:val="0"/>
    </w:pPr>
    <w:rPr>
      <w:rFonts w:ascii="Times New Roman" w:hAnsi="Times New Roman" w:eastAsia="Dutch 801" w:cs="Arial"/>
      <w:color w:val="auto"/>
      <w:kern w:val="2"/>
      <w:sz w:val="24"/>
      <w:szCs w:val="24"/>
      <w:lang w:val="en-CA" w:eastAsia="zh-CN" w:bidi="hi-IN"/>
    </w:rPr>
  </w:style>
  <w:style w:type="paragraph" w:styleId="91">
    <w:name w:val="91"/>
    <w:qFormat/>
    <w:pPr>
      <w:widowControl w:val="false"/>
      <w:bidi w:val="0"/>
    </w:pPr>
    <w:rPr>
      <w:rFonts w:ascii="Times New Roman" w:hAnsi="Times New Roman" w:eastAsia="Dutch 801" w:cs="Arial"/>
      <w:color w:val="auto"/>
      <w:kern w:val="2"/>
      <w:sz w:val="24"/>
      <w:szCs w:val="24"/>
      <w:lang w:val="en-CA" w:eastAsia="zh-CN" w:bidi="hi-IN"/>
    </w:rPr>
  </w:style>
  <w:style w:type="paragraph" w:styleId="94">
    <w:name w:val="94"/>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5">
    <w:name w:val="Style 1"/>
    <w:qFormat/>
    <w:pPr>
      <w:widowControl w:val="false"/>
      <w:bidi w:val="0"/>
    </w:pPr>
    <w:rPr>
      <w:rFonts w:ascii="Times New Roman" w:hAnsi="Times New Roman" w:eastAsia="Dutch 801" w:cs="Arial"/>
      <w:color w:val="auto"/>
      <w:kern w:val="2"/>
      <w:sz w:val="24"/>
      <w:szCs w:val="24"/>
      <w:lang w:val="en-CA" w:eastAsia="zh-CN" w:bidi="hi-IN"/>
    </w:rPr>
  </w:style>
  <w:style w:type="paragraph" w:styleId="Ref">
    <w:name w:val="Ref"/>
    <w:qFormat/>
    <w:pPr>
      <w:widowControl w:val="false"/>
      <w:bidi w:val="0"/>
    </w:pPr>
    <w:rPr>
      <w:rFonts w:ascii="Times New Roman" w:hAnsi="Times New Roman" w:eastAsia="Dutch 801" w:cs="Arial"/>
      <w:color w:val="auto"/>
      <w:kern w:val="2"/>
      <w:sz w:val="24"/>
      <w:szCs w:val="24"/>
      <w:lang w:val="en-CA" w:eastAsia="zh-CN" w:bidi="hi-IN"/>
    </w:rPr>
  </w:style>
  <w:style w:type="paragraph" w:styleId="FJPP">
    <w:name w:val="FJPP#"/>
    <w:qFormat/>
    <w:pPr>
      <w:widowControl w:val="false"/>
      <w:bidi w:val="0"/>
    </w:pPr>
    <w:rPr>
      <w:rFonts w:ascii="Times New Roman" w:hAnsi="Times New Roman" w:eastAsia="Dutch 801" w:cs="Arial"/>
      <w:color w:val="auto"/>
      <w:kern w:val="2"/>
      <w:sz w:val="24"/>
      <w:szCs w:val="24"/>
      <w:lang w:val="en-CA" w:eastAsia="zh-CN" w:bidi="hi-IN"/>
    </w:rPr>
  </w:style>
  <w:style w:type="paragraph" w:styleId="hand9">
    <w:name w:val="hand9"/>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FFENV">
    <w:name w:val="TFFENV"/>
    <w:qFormat/>
    <w:pPr>
      <w:widowControl w:val="false"/>
      <w:bidi w:val="0"/>
    </w:pPr>
    <w:rPr>
      <w:rFonts w:ascii="Times New Roman" w:hAnsi="Times New Roman" w:eastAsia="Dutch 801" w:cs="Arial"/>
      <w:color w:val="auto"/>
      <w:kern w:val="2"/>
      <w:sz w:val="24"/>
      <w:szCs w:val="24"/>
      <w:lang w:val="en-CA" w:eastAsia="zh-CN" w:bidi="hi-IN"/>
    </w:rPr>
  </w:style>
  <w:style w:type="paragraph" w:styleId="BEKENV">
    <w:name w:val="BEKENV"/>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Sty">
    <w:name w:val="Pleading Sty"/>
    <w:qFormat/>
    <w:pPr>
      <w:widowControl w:val="false"/>
      <w:bidi w:val="0"/>
    </w:pPr>
    <w:rPr>
      <w:rFonts w:ascii="Times New Roman" w:hAnsi="Times New Roman" w:eastAsia="Dutch 801" w:cs="Arial"/>
      <w:color w:val="auto"/>
      <w:kern w:val="2"/>
      <w:sz w:val="24"/>
      <w:szCs w:val="24"/>
      <w:lang w:val="en-CA" w:eastAsia="zh-CN" w:bidi="hi-IN"/>
    </w:rPr>
  </w:style>
  <w:style w:type="paragraph" w:styleId="PROPSTY">
    <w:name w:val="PROP.STY"/>
    <w:qFormat/>
    <w:pPr>
      <w:widowControl w:val="false"/>
      <w:bidi w:val="0"/>
    </w:pPr>
    <w:rPr>
      <w:rFonts w:ascii="Times New Roman" w:hAnsi="Times New Roman" w:eastAsia="Dutch 801" w:cs="Arial"/>
      <w:color w:val="auto"/>
      <w:kern w:val="2"/>
      <w:sz w:val="24"/>
      <w:szCs w:val="24"/>
      <w:lang w:val="en-CA" w:eastAsia="zh-CN" w:bidi="hi-IN"/>
    </w:rPr>
  </w:style>
  <w:style w:type="paragraph" w:styleId="FORMATL">
    <w:name w:val="FORMATL"/>
    <w:qFormat/>
    <w:pPr>
      <w:widowControl w:val="false"/>
      <w:bidi w:val="0"/>
    </w:pPr>
    <w:rPr>
      <w:rFonts w:ascii="Times New Roman" w:hAnsi="Times New Roman" w:eastAsia="Dutch 801" w:cs="Arial"/>
      <w:color w:val="auto"/>
      <w:kern w:val="2"/>
      <w:sz w:val="24"/>
      <w:szCs w:val="24"/>
      <w:lang w:val="en-CA" w:eastAsia="zh-CN" w:bidi="hi-IN"/>
    </w:rPr>
  </w:style>
  <w:style w:type="paragraph" w:styleId="list1">
    <w:name w:val="list1"/>
    <w:qFormat/>
    <w:pPr>
      <w:widowControl w:val="false"/>
      <w:bidi w:val="0"/>
    </w:pPr>
    <w:rPr>
      <w:rFonts w:ascii="Times New Roman" w:hAnsi="Times New Roman" w:eastAsia="Dutch 801" w:cs="Arial"/>
      <w:color w:val="auto"/>
      <w:kern w:val="2"/>
      <w:sz w:val="24"/>
      <w:szCs w:val="24"/>
      <w:lang w:val="en-CA" w:eastAsia="zh-CN" w:bidi="hi-IN"/>
    </w:rPr>
  </w:style>
  <w:style w:type="paragraph" w:styleId="RightPar11">
    <w:name w:val="Right Par1"/>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HEAD1">
    <w:name w:val="LETTERHEAD1"/>
    <w:qFormat/>
    <w:pPr>
      <w:widowControl w:val="false"/>
      <w:bidi w:val="0"/>
    </w:pPr>
    <w:rPr>
      <w:rFonts w:ascii="Times New Roman" w:hAnsi="Times New Roman" w:eastAsia="Dutch 801" w:cs="Arial"/>
      <w:color w:val="auto"/>
      <w:kern w:val="2"/>
      <w:sz w:val="24"/>
      <w:szCs w:val="24"/>
      <w:lang w:val="en-CA" w:eastAsia="zh-CN" w:bidi="hi-IN"/>
    </w:rPr>
  </w:style>
  <w:style w:type="paragraph" w:styleId="123">
    <w:name w:val="1, 2, 3,"/>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header" Target="header13.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eader" Target="header16.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header" Target="header19.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footer" Target="footer24.xml"/><Relationship Id="rId47" Type="http://schemas.openxmlformats.org/officeDocument/2006/relationships/header" Target="header22.xml"/><Relationship Id="rId48" Type="http://schemas.openxmlformats.org/officeDocument/2006/relationships/footer" Target="footer25.xml"/><Relationship Id="rId49" Type="http://schemas.openxmlformats.org/officeDocument/2006/relationships/header" Target="header23.xml"/><Relationship Id="rId50" Type="http://schemas.openxmlformats.org/officeDocument/2006/relationships/header" Target="header24.xml"/><Relationship Id="rId51" Type="http://schemas.openxmlformats.org/officeDocument/2006/relationships/footer" Target="footer26.xml"/><Relationship Id="rId52" Type="http://schemas.openxmlformats.org/officeDocument/2006/relationships/footer" Target="footer27.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