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  <w:sz w:val="24"/>
        </w:rPr>
      </w:pPr>
      <w:r>
        <w:rPr>
          <w:sz w:val="24"/>
        </w:rPr>
      </w:r>
      <w:r>
        <w:rPr>
          <w:b/>
          <w:sz w:val="24"/>
        </w:rPr>
        <w:tab/>
        <w:t>PROJECT HAWAII II</w:t>
        <w:tab/>
      </w:r>
      <w:r>
        <w:rPr>
          <w:b/>
          <w:sz w:val="18"/>
        </w:rPr>
        <w:t>11/13/00</w:t>
      </w:r>
    </w:p>
    <w:p>
      <w:pPr>
        <w:pStyle w:val="Normal"/>
        <w:widowControl/>
        <w:tabs>
          <w:tab w:val="clear" w:pos="720"/>
          <w:tab w:val="center" w:pos="4680" w:leader="none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MASTER DOCUMENTS CLOSING CHECKLIST</w:t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sz w:val="24"/>
          <w:u w:val="single"/>
        </w:rPr>
      </w:pPr>
      <w:r>
        <w:rPr>
          <w:b/>
          <w:sz w:val="24"/>
        </w:rPr>
        <w:t>I.</w:t>
      </w:r>
      <w:r>
        <w:rPr>
          <w:sz w:val="24"/>
        </w:rPr>
        <w:tab/>
      </w:r>
      <w:r>
        <w:rPr>
          <w:b/>
          <w:sz w:val="24"/>
          <w:u w:val="single"/>
        </w:rPr>
        <w:t>THE PARTIES</w:t>
      </w:r>
    </w:p>
    <w:p>
      <w:pPr>
        <w:pStyle w:val="Normal"/>
        <w:widowControl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Trust</w:t>
        <w:tab/>
        <w:tab/>
        <w:tab/>
        <w:tab/>
        <w:t>Hawaii II 125-0 Trust</w:t>
      </w:r>
    </w:p>
    <w:p>
      <w:pPr>
        <w:pStyle w:val="Normal"/>
        <w:widowControl/>
        <w:ind w:hanging="3600" w:start="3600" w:end="0"/>
        <w:rPr>
          <w:sz w:val="24"/>
        </w:rPr>
      </w:pPr>
      <w:r>
        <w:rPr>
          <w:sz w:val="24"/>
        </w:rPr>
        <w:tab/>
        <w:t>Lenders</w:t>
        <w:tab/>
        <w:tab/>
        <w:tab/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McGarret I</w:t>
        <w:tab/>
        <w:tab/>
        <w:tab/>
        <w:t>McGarret 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McGarret II</w:t>
        <w:tab/>
        <w:tab/>
        <w:tab/>
        <w:t>McGarret 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McGarret III</w:t>
        <w:tab/>
        <w:tab/>
        <w:tab/>
        <w:t>McGarret III,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Danno II</w:t>
        <w:tab/>
        <w:tab/>
        <w:tab/>
        <w:t>Danno 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Maui II</w:t>
        <w:tab/>
        <w:tab/>
        <w:tab/>
        <w:t>Maui 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Big Island I</w:t>
        <w:tab/>
        <w:tab/>
        <w:tab/>
        <w:t>Big Island 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Big Island II</w:t>
        <w:tab/>
        <w:tab/>
        <w:tab/>
        <w:t>Big Island 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Big Island III</w:t>
        <w:tab/>
        <w:tab/>
        <w:tab/>
        <w:t>Big Island III, L.L.C.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EES</w:t>
        <w:tab/>
        <w:tab/>
        <w:tab/>
        <w:tab/>
        <w:t>Enron Energy Services, LLC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EESO</w:t>
        <w:tab/>
        <w:tab/>
        <w:tab/>
        <w:tab/>
        <w:t>Enron Energy Services Operations, Inc.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  <w:t>II.</w:t>
        <w:tab/>
      </w:r>
      <w:r>
        <w:rPr>
          <w:b/>
          <w:sz w:val="24"/>
          <w:u w:val="single"/>
        </w:rPr>
        <w:t>HAWAII II 125-0 TRUST</w:t>
      </w:r>
    </w:p>
    <w:tbl>
      <w:tblPr>
        <w:tblW w:w="9792" w:type="dxa"/>
        <w:jc w:val="start"/>
        <w:tblInd w:w="90" w:type="dxa"/>
        <w:tblLayout w:type="fixed"/>
        <w:tblCellMar>
          <w:top w:w="0" w:type="dxa"/>
          <w:start w:w="90" w:type="dxa"/>
          <w:bottom w:w="0" w:type="dxa"/>
          <w:end w:w="90" w:type="dxa"/>
        </w:tblCellMar>
      </w:tblPr>
      <w:tblGrid>
        <w:gridCol w:w="720"/>
        <w:gridCol w:w="6840"/>
        <w:gridCol w:w="2232"/>
      </w:tblGrid>
      <w:tr>
        <w:trPr>
          <w:tblHeader w:val="true"/>
        </w:trPr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  <w:u w:val="single"/>
              </w:rPr>
              <w:t>Document Description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Restated Certificate of Business Trust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Officer’s Certificate of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WTC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Second Amended and Restated Hawaii II Trust Agreement (DAL:265272)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E:</w:t>
              <w:tab/>
              <w:t>Form of Series Supplement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WTC, CIBC Inc.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Reimbursement and Disclosure Agreement (DAL:265275)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Replacement Beneficial Interest Certificate issued to CIBC Inc. (DAL:265276)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Distribution Agreement (DAL:265277)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Subscription Documents (DAL:265278)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- Accredited Questionnaire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 xml:space="preserve">Letter Agreement re: Equity Commitment Termination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(DAL: 267979)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Enron,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56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b/>
                <w:sz w:val="24"/>
              </w:rPr>
              <w:t>III.</w:t>
              <w:tab/>
            </w:r>
            <w:r>
              <w:rPr>
                <w:b/>
                <w:sz w:val="24"/>
                <w:u w:val="single"/>
              </w:rPr>
              <w:t>FACILITY AGREEMENT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Facility Agreement (DAL:265273)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 xml:space="preserve">Form of Note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F:</w:t>
              <w:tab/>
              <w:t>Form of Independent Auctioneer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(DAL:266746)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G1:</w:t>
              <w:tab/>
              <w:t>Form of Swap Confirmation (DAL:268099)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G2:</w:t>
              <w:tab/>
              <w:t>Form of Swap Schedule (Permitted Swap Party) (DAL:265279)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G3:</w:t>
              <w:tab/>
              <w:t>Form of Swap Schedule (Enron)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(DAL:266279)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G4:</w:t>
              <w:tab/>
              <w:t>Form of Enron Guaranty (DAL:268951)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H:</w:t>
              <w:tab/>
              <w:t>Form of Transfer and Auction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(DAL:266163)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40" w:start="2040" w:end="0"/>
              <w:rPr>
                <w:sz w:val="24"/>
              </w:rPr>
            </w:pPr>
            <w:r>
              <w:rPr>
                <w:sz w:val="24"/>
              </w:rPr>
              <w:tab/>
              <w:t>Exhibit I:</w:t>
              <w:tab/>
              <w:t>Part A - Form of Asset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(DAL:266143)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>Part B - Form of Transferor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204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(DAL:266137)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230" w:start="2040" w:end="0"/>
              <w:rPr>
                <w:sz w:val="24"/>
              </w:rPr>
            </w:pPr>
            <w:r>
              <w:rPr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K1: Form of Asset Notice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K2: Form of Asset Summary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L1:</w:t>
              <w:tab/>
              <w:t>Form of Additional Lender Certificate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L2:  Form of Increased Commitment Certificate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M:</w:t>
              <w:tab/>
              <w:t>Form of Omnibus Amendment (DAL:______)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Trust, Lenders,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40" w:type="dxa"/>
            <w:tcBorders/>
          </w:tcPr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$35,000,000 payable to Bayerische Landesbank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$35,000,000 payable to First Union National 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$35,000,000 payable to BNP Paribas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$35,000,000 payable to SANPAOLO IMI S.p.A.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$35,000,000 payable to Bankers Trust Company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 xml:space="preserve">Note in the original amount of $35,000,000 payable to TD Securities 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$24,500,000 payable to CIBC Oppenheimer (DAL:269273)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$24,500,000 payable to National Australia Bank, Ltd.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$24,500,000 payable to The Sumitomo Bank, Limited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$24,500,000 payable to Wachovia 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$21,000,000 payable to ABN/AMRO Bank, Ltd.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$14,000,000 payable to Banco Bilbao Vizcaya Argentaria, S.A.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$14,000,000 payable to National Westminster Bank PLC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$14,000,000 payable to Credit Agricole Indosuez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10" w:start="81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$14,000,000 payable to Royal Bank of Canada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fals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ISDA Master Agreement (Form)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Swap Schedule (DAL:269252)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Legal Opinion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C</w:t>
              <w:tab/>
              <w:t>Form of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Commitment Fee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Funding Indemnity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16.a.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Trust Equity Fee Letter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Termination of Hawaii Facility Agreement (DAL:269253)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Trust, CIBC</w:t>
            </w:r>
          </w:p>
        </w:tc>
      </w:tr>
      <w:tr>
        <w:trPr/>
        <w:tc>
          <w:tcPr>
            <w:tcW w:w="756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b/>
                <w:sz w:val="24"/>
              </w:rPr>
              <w:t>IV.</w:t>
              <w:tab/>
              <w:t>ROLLOVER OF EXISTING HAWAII TRANCHES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Notice of Prepayment (DAL:267365)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Drawdown Request - Series McGarret A (DAL: 268980)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Drawdown Request - Series McGarret C (DAL:268982)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Drawdown Request - Series McGarret D (DAL:268991)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Drawdown Request - Series Danno B (DAL:267252)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Omnibus Amendment - Series McGarret A (DAL:266755)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Trust, EES, Enron, McGarret 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Big Island I,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Omnibus Amendment - Series McGarret C (DAL:266950)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Trust, EES, Enron, McGarret III,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Big Island III,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Omnibus Amendment - Series McGarret D (DAL:267037)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Trust, EES, Enron, McGarret II,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Big Island II,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Omnibus Amendment - Series Danno B (DAL:267271)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Trust, EESO, Enron, Danno II, Maui II,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Replacement Series Certificate - Series McGarret A (DAL:268572)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Replacement Series Certificate - Series McGarret C (DAL:268675)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Replacement Series Certificate - Series McGarret D (DAL:268676)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Replacement Series Certificate - Series Danno B (DAL:267069)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Confirmation Letter (DAL:268999)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Direction Letter to Owner Trustee (DAL:269030)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Payment Direction Letter (DAL:269105)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Inc., Trust, 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Receipt of Trust (DAL:267321)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Receipt of Agent (DAL:267366)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56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ind w:hanging="840" w:start="840" w:end="0"/>
              <w:rPr>
                <w:sz w:val="24"/>
              </w:rPr>
            </w:pPr>
            <w:r>
              <w:rPr>
                <w:b/>
                <w:sz w:val="24"/>
              </w:rPr>
              <w:t>V.</w:t>
              <w:tab/>
            </w:r>
            <w:r>
              <w:rPr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McGarret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McGarret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McGarret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38.a.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Danno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Big Island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Big Island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Big Island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41.a.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Maui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Existence and Good Standing of EES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42.a.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EESO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keepLines w:val="false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Certificate of Secretary of 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A - Limited Liability Company Agreement of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B-1 - Board Resolutions of EES for McGarret I and </w:t>
              <w:tab/>
              <w:tab/>
              <w:tab/>
              <w:t>Big Island 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B-2 - Board Resolutions of EES for McGarret III and </w:t>
              <w:tab/>
              <w:tab/>
              <w:tab/>
              <w:t>Big Island III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B-3 - Board Resolutions of EES for McGarret II and </w:t>
              <w:tab/>
              <w:tab/>
              <w:tab/>
              <w:t>Big Island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C - Certificate of Formation of McGarret 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D - Certificate of Formation of McGarret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E - Certificate of Formation of McGarret III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F - Certificate of Formation of Big Island 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G - Certificate of Formation of Big Island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H - Certificate of Formation of Big Island III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I - Limited Liability Company Agreement of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McGarret 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J - Limited Liability Company Agreement of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McGarret II</w:t>
              <w:tab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K - Limited Liability Company Agreement of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McGarret III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L - Limited Liability Company Agreement of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Big Island 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M - Limited Liability Company Agreement of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Big Island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N - Limited Liability Company Agreement of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Big Island III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O - Certificate of Formation of 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P -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43.a.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Certificate of Secretary of EESO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A - Articles of Incorporation of EESO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B - Board Resolutions of EESO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C - Certificate of Formation of Danno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D - Certificate of Formation of Maui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Exhibit E - Limited Liability Company Agreement of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>Danno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F - Limited Liability Company Agreement of Maui II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G -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Existence and Good Standing of Enron issued by the 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Revenue Letter issued by the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Authority of Enron issued by the Secretary of State of Texas and Certificate of Account Status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Certificate of Secretary of Enron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10" w:end="0"/>
              <w:rPr>
                <w:sz w:val="24"/>
              </w:rPr>
            </w:pPr>
            <w:r>
              <w:rPr>
                <w:sz w:val="24"/>
              </w:rPr>
              <w:t>Exhibit A - Articles of Incorporation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ind w:start="810" w:end="0"/>
              <w:rPr>
                <w:sz w:val="24"/>
              </w:rPr>
            </w:pPr>
            <w:r>
              <w:rPr>
                <w:sz w:val="24"/>
              </w:rPr>
              <w:t>Exhibit B - Bylaws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56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b/>
                <w:sz w:val="24"/>
              </w:rPr>
              <w:t>VI.</w:t>
              <w:tab/>
            </w:r>
            <w:r>
              <w:rPr>
                <w:b/>
                <w:sz w:val="24"/>
                <w:u w:val="single"/>
              </w:rPr>
              <w:t>OPINIONS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Prickett, Jones, Elliott &amp; Kristol, as special Delaware counsel to McGarret I, McGarret II, McGarret III, Big Island I, Big Island II and Big Island III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Opinion of Senior Vice President and General Counsel of Enron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Schedule I - Addressees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Schedule II - Transaction Documents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Opinion of General Counsel to 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Schedule I - Addressees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Schedule II - Transaction Documents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Richards, Layton &amp; Finger, as counsel to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Richards, Layton &amp; Finger, as counsel to the Trust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General Opinion of Mayer, Brown &amp; Platt, counsel to CIBC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General Opinion of Andrews &amp; Kurth, L.L.P., as special counsel to Enron, EES, EESO, McGarret I, McGarret II, McGarret III, Danno II, Big Island I, Big Island II, Big Island III, Maui II and EES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84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General Counsel to EESO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tLeast" w:line="0" w:before="0" w:after="0"/>
        <w:rPr>
          <w:sz w:val="24"/>
        </w:rPr>
      </w:pPr>
      <w:r>
        <w:rPr>
          <w:sz w:val="24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440" w:right="1440" w:gutter="0" w:header="1008" w:top="1064" w:footer="1008" w:bottom="14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14"/>
      </w:rPr>
    </w:pPr>
    <w:r>
      <w:rPr>
        <w:sz w:val="14"/>
      </w:rPr>
      <w:t>DAL:266026.2</w:t>
    </w:r>
  </w:p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align>left</wp:align>
              </wp:positionH>
              <wp:positionV relativeFrom="page">
                <wp:posOffset>9418320</wp:posOffset>
              </wp:positionV>
              <wp:extent cx="5943600" cy="177800"/>
              <wp:effectExtent l="0" t="0" r="0" b="0"/>
              <wp:wrapTopAndBottom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shd w:fill="auto" w:val="clear"/>
                            <w:tabs>
                              <w:tab w:val="left" w:pos="-1200" w:leader="none"/>
                              <w:tab w:val="left" w:pos="-720" w:leader="none"/>
                              <w:tab w:val="left" w:pos="0" w:leader="none"/>
                              <w:tab w:val="left" w:pos="720" w:leader="none"/>
                              <w:tab w:val="left" w:pos="1140" w:leader="none"/>
                              <w:tab w:val="left" w:pos="2160" w:leader="none"/>
                              <w:tab w:val="left" w:pos="2880" w:leader="none"/>
                              <w:tab w:val="left" w:pos="3600" w:leader="none"/>
                              <w:tab w:val="left" w:pos="4320" w:leader="none"/>
                              <w:tab w:val="left" w:pos="5040" w:leader="none"/>
                              <w:tab w:val="left" w:pos="5760" w:leader="none"/>
                              <w:tab w:val="left" w:pos="6480" w:leader="none"/>
                              <w:tab w:val="left" w:pos="7200" w:leader="none"/>
                              <w:tab w:val="left" w:pos="7920" w:leader="none"/>
                              <w:tab w:val="left" w:pos="8640" w:leader="none"/>
                              <w:tab w:val="left" w:pos="9360" w:leader="none"/>
                              <w:tab w:val="left" w:pos="10080" w:leader="none"/>
                              <w:tab w:val="left" w:pos="10800" w:leader="none"/>
                              <w:tab w:val="left" w:pos="11520" w:leader="none"/>
                              <w:tab w:val="left" w:pos="12240" w:leader="none"/>
                              <w:tab w:val="left" w:pos="12960" w:leader="none"/>
                              <w:tab w:val="left" w:pos="13680" w:leader="none"/>
                              <w:tab w:val="left" w:pos="14400" w:leader="none"/>
                              <w:tab w:val="left" w:pos="15120" w:leader="none"/>
                              <w:tab w:val="left" w:pos="15840" w:leader="none"/>
                              <w:tab w:val="left" w:pos="16560" w:leader="none"/>
                              <w:tab w:val="left" w:pos="17280" w:leader="none"/>
                              <w:tab w:val="left" w:pos="18000" w:leader="none"/>
                              <w:tab w:val="left" w:pos="18720" w:leader="none"/>
                            </w:tabs>
                            <w:spacing w:lineRule="atLeast" w:line="0" w:before="0" w:after="0"/>
                            <w:jc w:val="center"/>
                            <w:rPr>
                              <w:vanish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14pt;mso-wrap-distance-left:0pt;mso-wrap-distance-right:0pt;mso-wrap-distance-top:0pt;mso-wrap-distance-bottom:0pt;margin-top:741.6pt;mso-position-vertical-relative:page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shd w:fill="auto" w:val="clear"/>
                      <w:tabs>
                        <w:tab w:val="left" w:pos="-1200" w:leader="none"/>
                        <w:tab w:val="left" w:pos="-720" w:leader="none"/>
                        <w:tab w:val="left" w:pos="0" w:leader="none"/>
                        <w:tab w:val="left" w:pos="720" w:leader="none"/>
                        <w:tab w:val="left" w:pos="1140" w:leader="none"/>
                        <w:tab w:val="left" w:pos="2160" w:leader="none"/>
                        <w:tab w:val="left" w:pos="2880" w:leader="none"/>
                        <w:tab w:val="left" w:pos="3600" w:leader="none"/>
                        <w:tab w:val="left" w:pos="4320" w:leader="none"/>
                        <w:tab w:val="left" w:pos="5040" w:leader="none"/>
                        <w:tab w:val="left" w:pos="5760" w:leader="none"/>
                        <w:tab w:val="left" w:pos="6480" w:leader="none"/>
                        <w:tab w:val="left" w:pos="7200" w:leader="none"/>
                        <w:tab w:val="left" w:pos="7920" w:leader="none"/>
                        <w:tab w:val="left" w:pos="8640" w:leader="none"/>
                        <w:tab w:val="left" w:pos="9360" w:leader="none"/>
                        <w:tab w:val="left" w:pos="10080" w:leader="none"/>
                        <w:tab w:val="left" w:pos="10800" w:leader="none"/>
                        <w:tab w:val="left" w:pos="11520" w:leader="none"/>
                        <w:tab w:val="left" w:pos="12240" w:leader="none"/>
                        <w:tab w:val="left" w:pos="12960" w:leader="none"/>
                        <w:tab w:val="left" w:pos="13680" w:leader="none"/>
                        <w:tab w:val="left" w:pos="14400" w:leader="none"/>
                        <w:tab w:val="left" w:pos="15120" w:leader="none"/>
                        <w:tab w:val="left" w:pos="15840" w:leader="none"/>
                        <w:tab w:val="left" w:pos="16560" w:leader="none"/>
                        <w:tab w:val="left" w:pos="17280" w:leader="none"/>
                        <w:tab w:val="left" w:pos="18000" w:leader="none"/>
                        <w:tab w:val="left" w:pos="18720" w:leader="none"/>
                      </w:tabs>
                      <w:spacing w:lineRule="atLeast" w:line="0" w:before="0" w:after="0"/>
                      <w:jc w:val="center"/>
                      <w:rPr>
                        <w:vanish/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14"/>
      </w:rPr>
    </w:pPr>
    <w:r>
      <w:rPr>
        <w:sz w:val="14"/>
      </w:rPr>
      <w:t>DAL:266026.2</w:t>
    </w:r>
  </w:p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spacing w:lineRule="atLeast" w:line="0" w:before="0" w:after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align>left</wp:align>
              </wp:positionH>
              <wp:positionV relativeFrom="page">
                <wp:posOffset>9418320</wp:posOffset>
              </wp:positionV>
              <wp:extent cx="5943600" cy="17780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shd w:fill="auto" w:val="clear"/>
                            <w:tabs>
                              <w:tab w:val="left" w:pos="-1200" w:leader="none"/>
                              <w:tab w:val="left" w:pos="-720" w:leader="none"/>
                              <w:tab w:val="left" w:pos="0" w:leader="none"/>
                              <w:tab w:val="left" w:pos="720" w:leader="none"/>
                              <w:tab w:val="left" w:pos="1140" w:leader="none"/>
                              <w:tab w:val="left" w:pos="2160" w:leader="none"/>
                              <w:tab w:val="left" w:pos="2880" w:leader="none"/>
                              <w:tab w:val="left" w:pos="3600" w:leader="none"/>
                              <w:tab w:val="left" w:pos="4320" w:leader="none"/>
                              <w:tab w:val="left" w:pos="5040" w:leader="none"/>
                              <w:tab w:val="left" w:pos="5760" w:leader="none"/>
                              <w:tab w:val="left" w:pos="6480" w:leader="none"/>
                              <w:tab w:val="left" w:pos="7200" w:leader="none"/>
                              <w:tab w:val="left" w:pos="7920" w:leader="none"/>
                              <w:tab w:val="left" w:pos="8640" w:leader="none"/>
                              <w:tab w:val="left" w:pos="9360" w:leader="none"/>
                              <w:tab w:val="left" w:pos="10080" w:leader="none"/>
                              <w:tab w:val="left" w:pos="10800" w:leader="none"/>
                              <w:tab w:val="left" w:pos="11520" w:leader="none"/>
                              <w:tab w:val="left" w:pos="12240" w:leader="none"/>
                              <w:tab w:val="left" w:pos="12960" w:leader="none"/>
                              <w:tab w:val="left" w:pos="13680" w:leader="none"/>
                              <w:tab w:val="left" w:pos="14400" w:leader="none"/>
                              <w:tab w:val="left" w:pos="15120" w:leader="none"/>
                              <w:tab w:val="left" w:pos="15840" w:leader="none"/>
                              <w:tab w:val="left" w:pos="16560" w:leader="none"/>
                              <w:tab w:val="left" w:pos="17280" w:leader="none"/>
                              <w:tab w:val="left" w:pos="18000" w:leader="none"/>
                              <w:tab w:val="left" w:pos="18720" w:leader="none"/>
                            </w:tabs>
                            <w:jc w:val="center"/>
                            <w:rPr>
                              <w:vanish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14pt;mso-wrap-distance-left:0pt;mso-wrap-distance-right:0pt;mso-wrap-distance-top:0pt;mso-wrap-distance-bottom:0pt;margin-top:741.6pt;mso-position-vertical-relative:page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shd w:fill="auto" w:val="clear"/>
                      <w:tabs>
                        <w:tab w:val="left" w:pos="-1200" w:leader="none"/>
                        <w:tab w:val="left" w:pos="-720" w:leader="none"/>
                        <w:tab w:val="left" w:pos="0" w:leader="none"/>
                        <w:tab w:val="left" w:pos="720" w:leader="none"/>
                        <w:tab w:val="left" w:pos="1140" w:leader="none"/>
                        <w:tab w:val="left" w:pos="2160" w:leader="none"/>
                        <w:tab w:val="left" w:pos="2880" w:leader="none"/>
                        <w:tab w:val="left" w:pos="3600" w:leader="none"/>
                        <w:tab w:val="left" w:pos="4320" w:leader="none"/>
                        <w:tab w:val="left" w:pos="5040" w:leader="none"/>
                        <w:tab w:val="left" w:pos="5760" w:leader="none"/>
                        <w:tab w:val="left" w:pos="6480" w:leader="none"/>
                        <w:tab w:val="left" w:pos="7200" w:leader="none"/>
                        <w:tab w:val="left" w:pos="7920" w:leader="none"/>
                        <w:tab w:val="left" w:pos="8640" w:leader="none"/>
                        <w:tab w:val="left" w:pos="9360" w:leader="none"/>
                        <w:tab w:val="left" w:pos="10080" w:leader="none"/>
                        <w:tab w:val="left" w:pos="10800" w:leader="none"/>
                        <w:tab w:val="left" w:pos="11520" w:leader="none"/>
                        <w:tab w:val="left" w:pos="12240" w:leader="none"/>
                        <w:tab w:val="left" w:pos="12960" w:leader="none"/>
                        <w:tab w:val="left" w:pos="13680" w:leader="none"/>
                        <w:tab w:val="left" w:pos="14400" w:leader="none"/>
                        <w:tab w:val="left" w:pos="15120" w:leader="none"/>
                        <w:tab w:val="left" w:pos="15840" w:leader="none"/>
                        <w:tab w:val="left" w:pos="16560" w:leader="none"/>
                        <w:tab w:val="left" w:pos="17280" w:leader="none"/>
                        <w:tab w:val="left" w:pos="18000" w:leader="none"/>
                        <w:tab w:val="left" w:pos="18720" w:leader="none"/>
                      </w:tabs>
                      <w:jc w:val="center"/>
                      <w:rPr>
                        <w:vanish/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suff w:val="nothing"/>
      <w:lvlText w:val="(%1)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widowControl w:val="false"/>
    </w:pPr>
    <w:rPr/>
  </w:style>
  <w:style w:type="paragraph" w:styleId="1">
    <w:name w:val="1"/>
    <w:basedOn w:val="Normal"/>
    <w:qFormat/>
    <w:pPr>
      <w:widowControl w:val="fals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