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u w:val="double"/>
          <w:ins w:id="1" w:author="Unknown Author" w:date="0-00-00T00:00:00Z"/>
        </w:rPr>
      </w:pPr>
      <w:ins w:id="0" w:author="Unknown Author" w:date="0-00-00T00:00:00Z">
        <w:r>
          <w:rPr>
            <w:b/>
            <w:u w:val="double"/>
          </w:rPr>
          <w:t>DRAFT OF NOVEMBER 8, 2000</w:t>
        </w:r>
      </w:ins>
    </w:p>
    <w:p>
      <w:pPr>
        <w:pStyle w:val="Normal"/>
        <w:widowControl/>
        <w:jc w:val="both"/>
        <w:rPr>
          <w:b/>
          <w:u w:val="double"/>
          <w:ins w:id="3" w:author="Unknown Author" w:date="0-00-00T00:00:00Z"/>
        </w:rPr>
      </w:pPr>
      <w:ins w:id="2" w:author="Unknown Author" w:date="0-00-00T00:00:00Z">
        <w:r>
          <w:rPr>
            <w:b/>
            <w:u w:val="double"/>
          </w:rPr>
        </w:r>
      </w:ins>
    </w:p>
    <w:p>
      <w:pPr>
        <w:pStyle w:val="Normal"/>
        <w:widowControl/>
        <w:tabs>
          <w:tab w:val="clear" w:pos="720"/>
          <w:tab w:val="center" w:pos="4680" w:leader="none"/>
        </w:tabs>
        <w:jc w:val="both"/>
        <w:rPr>
          <w:b/>
          <w:u w:val="double"/>
        </w:rPr>
      </w:pPr>
      <w:ins w:id="4" w:author="Unknown Author" w:date="0-00-00T00:00:00Z">
        <w:r>
          <w:rPr>
            <w:b/>
            <w:u w:val="double"/>
          </w:rPr>
          <w:tab/>
          <w:t>EXHIBIT G</w:t>
          <w:noBreakHyphen/>
          <w:t>2 TO FACILITY AGREEMENT</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ins w:id="5" w:author="Unknown Author" w:date="0-00-00T00:00:00Z">
        <w:r>
          <w:rPr>
            <w:strike/>
          </w:rPr>
          <w:t>March 31</w:t>
        </w:r>
      </w:ins>
      <w:r>
        <w:rPr/>
        <w:t xml:space="preserve"> </w:t>
      </w:r>
      <w:ins w:id="6" w:author="Unknown Author" w:date="0-00-00T00:00:00Z">
        <w:r>
          <w:rPr>
            <w:b/>
            <w:u w:val="double"/>
          </w:rPr>
          <w:t>November 17</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ins w:id="7" w:author="Unknown Author" w:date="0-00-00T00:00:00Z">
        <w:r>
          <w:rPr>
            <w:strike/>
          </w:rPr>
          <w:t>Enron Corp.</w:t>
        </w:r>
      </w:ins>
      <w:ins w:id="8" w:author="Unknown Author" w:date="0-00-00T00:00:00Z">
        <w:r>
          <w:rPr>
            <w:b/>
            <w:u w:val="double"/>
          </w:rPr>
          <w:t>[Name of Permitted Swap Party]</w:t>
        </w:r>
      </w:ins>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 xml:space="preserve">Hawaii </w:t>
      </w:r>
      <w:ins w:id="9" w:author="Unknown Author" w:date="0-00-00T00:00:00Z">
        <w:r>
          <w:rPr>
            <w:b/>
            <w:u w:val="double"/>
          </w:rPr>
          <w:t>II</w:t>
        </w:r>
      </w:ins>
      <w:r>
        <w:rPr/>
        <w:t xml:space="preserve">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jc w:val="both"/>
        <w:rPr/>
      </w:pPr>
      <w:r>
        <w:rPr/>
      </w:r>
    </w:p>
    <w:p>
      <w:pPr>
        <w:pStyle w:val="Normal"/>
        <w:widowControl/>
        <w:spacing w:lineRule="auto" w:line="360"/>
        <w:jc w:val="both"/>
        <w:rPr>
          <w:b/>
        </w:rPr>
      </w:pPr>
      <w:r>
        <w:rPr>
          <w:b/>
        </w:rPr>
        <w:t>General Provisions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w:t>
      </w:r>
      <w:ins w:id="10" w:author="Unknown Author" w:date="0-00-00T00:00:00Z">
        <w:r>
          <w:rPr>
            <w:strike/>
          </w:rPr>
          <w:t>together with any other amendments and supplements thereto</w:t>
        </w:r>
      </w:ins>
      <w:r>
        <w:rPr/>
        <w:t xml:space="preserve">(the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r>
      <w:r>
        <w:rPr>
          <w:b/>
        </w:rPr>
        <w:t>Representations, Warranties and Covenants.</w:t>
      </w:r>
    </w:p>
    <w:p>
      <w:pPr>
        <w:pStyle w:val="Normal"/>
        <w:widowControl/>
        <w:spacing w:lineRule="auto" w:line="360"/>
        <w:jc w:val="both"/>
        <w:rPr/>
      </w:pPr>
      <w:r>
        <w:rPr/>
      </w:r>
    </w:p>
    <w:p>
      <w:pPr>
        <w:pStyle w:val="Normal"/>
        <w:widowControl/>
        <w:spacing w:lineRule="auto" w:line="360"/>
        <w:ind w:start="720" w:end="0"/>
        <w:jc w:val="both"/>
        <w:rPr/>
      </w:pPr>
      <w:r>
        <w:rPr/>
        <w:t>(1)</w:t>
        <w:tab/>
        <w:t>Party A and Party B each represents and warrants to the other that:</w:t>
      </w:r>
    </w:p>
    <w:p>
      <w:pPr>
        <w:pStyle w:val="Normal"/>
        <w:widowControl/>
        <w:spacing w:lineRule="auto" w:line="360"/>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spacing w:lineRule="auto" w:line="360"/>
        <w:jc w:val="both"/>
        <w:rPr/>
      </w:pPr>
      <w:r>
        <w:rPr/>
      </w:r>
    </w:p>
    <w:p>
      <w:pPr>
        <w:pStyle w:val="Normal"/>
        <w:widowControl/>
        <w:spacing w:lineRule="auto" w:line="360"/>
        <w:ind w:start="1440" w:end="0"/>
        <w:jc w:val="both"/>
        <w:rPr>
          <w:strike/>
          <w:ins w:id="12" w:author="Unknown Author" w:date="0-00-00T00:00:00Z"/>
        </w:rPr>
      </w:pPr>
      <w:ins w:id="11" w:author="Unknown Author" w:date="0-00-00T00:00:00Z">
        <w:r>
          <w:rPr>
            <w:strike/>
          </w:rPr>
          <w:t>(2) (A) Party A covenants until all amounts of principal, interest and all other amounts due to the Lenders under the Facility Agreement have been paid in full:</w:t>
        </w:r>
      </w:ins>
    </w:p>
    <w:p>
      <w:pPr>
        <w:pStyle w:val="Normal"/>
        <w:widowControl/>
        <w:spacing w:lineRule="auto" w:line="360"/>
        <w:jc w:val="both"/>
        <w:rPr>
          <w:strike/>
          <w:ins w:id="14" w:author="Unknown Author" w:date="0-00-00T00:00:00Z"/>
        </w:rPr>
      </w:pPr>
      <w:ins w:id="13" w:author="Unknown Author" w:date="0-00-00T00:00:00Z">
        <w:r>
          <w:rPr>
            <w:strike/>
          </w:rPr>
        </w:r>
      </w:ins>
    </w:p>
    <w:p>
      <w:pPr>
        <w:pStyle w:val="Normal"/>
        <w:widowControl/>
        <w:spacing w:lineRule="auto" w:line="360"/>
        <w:jc w:val="both"/>
        <w:rPr>
          <w:ins w:id="38" w:author="Unknown Author" w:date="0-00-00T00:00:00Z"/>
        </w:rPr>
      </w:pPr>
      <w:ins w:id="15" w:author="Unknown Author" w:date="0-00-00T00:00:00Z">
        <w:r>
          <w:rPr>
            <w:strike/>
          </w:rPr>
          <w:t xml:space="preserve">(i) to make available on a substantially continuous basis either on </w:t>
        </w:r>
      </w:ins>
      <w:ins w:id="16" w:author="Unknown Author" w:date="0-00-00T00:00:00Z">
        <w:r>
          <w:rPr>
            <w:rFonts w:cs="WP TypographicSymbols" w:ascii="WP TypographicSymbols" w:hAnsi="WP TypographicSymbols"/>
            <w:strike/>
          </w:rPr>
          <w:t>A</w:t>
        </w:r>
      </w:ins>
      <w:ins w:id="17" w:author="Unknown Author" w:date="0-00-00T00:00:00Z">
        <w:r>
          <w:rPr>
            <w:strike/>
          </w:rPr>
          <w:t>EDGAR</w:t>
        </w:r>
      </w:ins>
      <w:ins w:id="18" w:author="Unknown Author" w:date="0-00-00T00:00:00Z">
        <w:r>
          <w:rPr>
            <w:rFonts w:cs="WP TypographicSymbols" w:ascii="WP TypographicSymbols" w:hAnsi="WP TypographicSymbols"/>
            <w:strike/>
          </w:rPr>
          <w:t>@</w:t>
        </w:r>
      </w:ins>
      <w:ins w:id="19" w:author="Unknown Author" w:date="0-00-00T00:00:00Z">
        <w:r>
          <w:rPr>
            <w:strike/>
          </w:rPr>
          <w:t xml:space="preserve"> or Party A</w:t>
        </w:r>
      </w:ins>
      <w:ins w:id="20" w:author="Unknown Author" w:date="0-00-00T00:00:00Z">
        <w:r>
          <w:rPr>
            <w:rFonts w:cs="WP TypographicSymbols" w:ascii="WP TypographicSymbols" w:hAnsi="WP TypographicSymbols"/>
            <w:strike/>
          </w:rPr>
          <w:t>=</w:t>
        </w:r>
      </w:ins>
      <w:ins w:id="21" w:author="Unknown Author" w:date="0-00-00T00:00:00Z">
        <w:r>
          <w:rPr>
            <w:strike/>
          </w:rPr>
          <w:t xml:space="preserve">s home page on the </w:t>
        </w:r>
      </w:ins>
      <w:ins w:id="22" w:author="Unknown Author" w:date="0-00-00T00:00:00Z">
        <w:r>
          <w:rPr>
            <w:rFonts w:cs="WP TypographicSymbols" w:ascii="WP TypographicSymbols" w:hAnsi="WP TypographicSymbols"/>
            <w:strike/>
          </w:rPr>
          <w:t>A</w:t>
        </w:r>
      </w:ins>
      <w:ins w:id="23" w:author="Unknown Author" w:date="0-00-00T00:00:00Z">
        <w:r>
          <w:rPr>
            <w:strike/>
          </w:rPr>
          <w:t>World Wide Web</w:t>
        </w:r>
      </w:ins>
      <w:ins w:id="24" w:author="Unknown Author" w:date="0-00-00T00:00:00Z">
        <w:r>
          <w:rPr>
            <w:rFonts w:cs="WP TypographicSymbols" w:ascii="WP TypographicSymbols" w:hAnsi="WP TypographicSymbols"/>
            <w:strike/>
          </w:rPr>
          <w:t>@</w:t>
        </w:r>
      </w:ins>
      <w:ins w:id="25" w:author="Unknown Author" w:date="0-00-00T00:00:00Z">
        <w:r>
          <w:rPr>
            <w:strike/>
          </w:rPr>
          <w:t xml:space="preserve"> at www.enron.com, or otherwise to transmit to Party B (1) promptly after the sending or filing thereof, a copy of each of Party A</w:t>
        </w:r>
      </w:ins>
      <w:ins w:id="26" w:author="Unknown Author" w:date="0-00-00T00:00:00Z">
        <w:r>
          <w:rPr>
            <w:rFonts w:cs="WP TypographicSymbols" w:ascii="WP TypographicSymbols" w:hAnsi="WP TypographicSymbols"/>
            <w:strike/>
          </w:rPr>
          <w:t>=</w:t>
        </w:r>
      </w:ins>
      <w:ins w:id="27" w:author="Unknown Author" w:date="0-00-00T00:00:00Z">
        <w:r>
          <w:rPr>
            <w:strike/>
          </w:rPr>
          <w:t>s reports on Form 8</w:t>
          <w:noBreakHyphen/>
          <w:t>K (or any comparable form), (2) promptly after the filing or sending thereof, and in any event within 45 days after the end of each of the first three fiscal quarters of each fiscal year of Party A, a copy of Party A</w:t>
        </w:r>
      </w:ins>
      <w:ins w:id="28" w:author="Unknown Author" w:date="0-00-00T00:00:00Z">
        <w:r>
          <w:rPr>
            <w:rFonts w:cs="WP TypographicSymbols" w:ascii="WP TypographicSymbols" w:hAnsi="WP TypographicSymbols"/>
            <w:strike/>
          </w:rPr>
          <w:t>=</w:t>
        </w:r>
      </w:ins>
      <w:ins w:id="29" w:author="Unknown Author" w:date="0-00-00T00:00:00Z">
        <w:r>
          <w:rPr>
            <w:strike/>
          </w:rPr>
          <w:t>s report on Form 10</w:t>
          <w:noBreakHyphen/>
          <w:t>Q (or any comparable form) for such quarter, which report will include Party A</w:t>
        </w:r>
      </w:ins>
      <w:ins w:id="30" w:author="Unknown Author" w:date="0-00-00T00:00:00Z">
        <w:r>
          <w:rPr>
            <w:rFonts w:cs="WP TypographicSymbols" w:ascii="WP TypographicSymbols" w:hAnsi="WP TypographicSymbols"/>
            <w:strike/>
          </w:rPr>
          <w:t>=</w:t>
        </w:r>
      </w:ins>
      <w:ins w:id="31" w:author="Unknown Author" w:date="0-00-00T00:00:00Z">
        <w:r>
          <w:rPr>
            <w:strike/>
          </w:rPr>
          <w:t>s quarterly unaudited consolidated financial statements as of the end of and for such quarter, and (3) promptly after the filing or sending thereof, and in any event within 90 days after the end of each fiscal year of Party A, a copy of Party A</w:t>
        </w:r>
      </w:ins>
      <w:ins w:id="32" w:author="Unknown Author" w:date="0-00-00T00:00:00Z">
        <w:r>
          <w:rPr>
            <w:rFonts w:cs="WP TypographicSymbols" w:ascii="WP TypographicSymbols" w:hAnsi="WP TypographicSymbols"/>
            <w:strike/>
          </w:rPr>
          <w:t>=</w:t>
        </w:r>
      </w:ins>
      <w:ins w:id="33" w:author="Unknown Author" w:date="0-00-00T00:00:00Z">
        <w:r>
          <w:rPr>
            <w:strike/>
          </w:rPr>
          <w:t>s annual report which it sends to its public security holders, and a copy of Party A</w:t>
        </w:r>
      </w:ins>
      <w:ins w:id="34" w:author="Unknown Author" w:date="0-00-00T00:00:00Z">
        <w:r>
          <w:rPr>
            <w:rFonts w:cs="WP TypographicSymbols" w:ascii="WP TypographicSymbols" w:hAnsi="WP TypographicSymbols"/>
            <w:strike/>
          </w:rPr>
          <w:t>=</w:t>
        </w:r>
      </w:ins>
      <w:ins w:id="35" w:author="Unknown Author" w:date="0-00-00T00:00:00Z">
        <w:r>
          <w:rPr>
            <w:strike/>
          </w:rPr>
          <w:t>s report on Form 10</w:t>
          <w:noBreakHyphen/>
          <w:t>K (or any comparable form) for such year, which annual report will include Party A</w:t>
        </w:r>
      </w:ins>
      <w:ins w:id="36" w:author="Unknown Author" w:date="0-00-00T00:00:00Z">
        <w:r>
          <w:rPr>
            <w:rFonts w:cs="WP TypographicSymbols" w:ascii="WP TypographicSymbols" w:hAnsi="WP TypographicSymbols"/>
            <w:strike/>
          </w:rPr>
          <w:t>=</w:t>
        </w:r>
      </w:ins>
      <w:ins w:id="37" w:author="Unknown Author" w:date="0-00-00T00:00:00Z">
        <w:r>
          <w:rPr>
            <w:strike/>
          </w:rPr>
          <w:t>s annual audited consolidated financial statements as of the end of and for such year.</w:t>
        </w:r>
      </w:ins>
    </w:p>
    <w:p>
      <w:pPr>
        <w:pStyle w:val="Normal"/>
        <w:widowControl/>
        <w:spacing w:lineRule="auto" w:line="360"/>
        <w:jc w:val="both"/>
        <w:rPr>
          <w:strike/>
        </w:rPr>
      </w:pPr>
      <w:r>
        <w:rPr>
          <w:strike/>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strike/>
          <w:ins w:id="40" w:author="Unknown Author" w:date="0-00-00T00:00:00Z"/>
        </w:rPr>
      </w:pPr>
      <w:ins w:id="39" w:author="Unknown Author" w:date="0-00-00T00:00:00Z">
        <w:r>
          <w:rPr>
            <w:strike/>
          </w:rPr>
          <w:t>(ii) 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ins>
    </w:p>
    <w:p>
      <w:pPr>
        <w:pStyle w:val="Normal"/>
        <w:widowControl/>
        <w:spacing w:lineRule="auto" w:line="360"/>
        <w:jc w:val="both"/>
        <w:rPr>
          <w:strike/>
          <w:ins w:id="42" w:author="Unknown Author" w:date="0-00-00T00:00:00Z"/>
        </w:rPr>
      </w:pPr>
      <w:ins w:id="41" w:author="Unknown Author" w:date="0-00-00T00:00:00Z">
        <w:r>
          <w:rPr>
            <w:strike/>
          </w:rPr>
        </w:r>
      </w:ins>
    </w:p>
    <w:p>
      <w:pPr>
        <w:pStyle w:val="Normal"/>
        <w:widowControl/>
        <w:spacing w:lineRule="auto" w:line="360"/>
        <w:jc w:val="both"/>
        <w:rPr>
          <w:strike/>
          <w:ins w:id="44" w:author="Unknown Author" w:date="0-00-00T00:00:00Z"/>
        </w:rPr>
      </w:pPr>
      <w:ins w:id="43" w:author="Unknown Author" w:date="0-00-00T00:00:00Z">
        <w:r>
          <w:rPr>
            <w:strike/>
          </w:rPr>
          <w:t>(iii) to cause the Asset LLCs and the Transferor LLCs not to incur or suffer to exist any Indebtedness (as defined in the Facility Agreement).</w:t>
        </w:r>
      </w:ins>
    </w:p>
    <w:p>
      <w:pPr>
        <w:pStyle w:val="Normal"/>
        <w:widowControl/>
        <w:spacing w:lineRule="auto" w:line="360"/>
        <w:jc w:val="both"/>
        <w:rPr>
          <w:strike/>
          <w:ins w:id="46" w:author="Unknown Author" w:date="0-00-00T00:00:00Z"/>
        </w:rPr>
      </w:pPr>
      <w:ins w:id="45" w:author="Unknown Author" w:date="0-00-00T00:00:00Z">
        <w:r>
          <w:rPr>
            <w:strike/>
          </w:rPr>
        </w:r>
      </w:ins>
    </w:p>
    <w:p>
      <w:pPr>
        <w:pStyle w:val="Normal"/>
        <w:widowControl/>
        <w:spacing w:lineRule="auto" w:line="360"/>
        <w:jc w:val="both"/>
        <w:rPr>
          <w:strike/>
          <w:ins w:id="48" w:author="Unknown Author" w:date="0-00-00T00:00:00Z"/>
        </w:rPr>
      </w:pPr>
      <w:ins w:id="47" w:author="Unknown Author" w:date="0-00-00T00:00:00Z">
        <w:r>
          <w:rPr>
            <w:strike/>
          </w:rPr>
          <w:t>(iv) that the applicable Sponsor (as defined in the Facility Agreement) will remain at all times the sole Managing Member of each Asset LLC and each Transferor LLC.</w:t>
        </w:r>
      </w:ins>
    </w:p>
    <w:p>
      <w:pPr>
        <w:pStyle w:val="Normal"/>
        <w:widowControl/>
        <w:spacing w:lineRule="auto" w:line="360"/>
        <w:jc w:val="both"/>
        <w:rPr>
          <w:strike/>
          <w:ins w:id="50" w:author="Unknown Author" w:date="0-00-00T00:00:00Z"/>
        </w:rPr>
      </w:pPr>
      <w:ins w:id="49" w:author="Unknown Author" w:date="0-00-00T00:00:00Z">
        <w:r>
          <w:rPr>
            <w:strike/>
          </w:rPr>
        </w:r>
      </w:ins>
    </w:p>
    <w:p>
      <w:pPr>
        <w:pStyle w:val="Normal"/>
        <w:widowControl/>
        <w:spacing w:lineRule="auto" w:line="360"/>
        <w:jc w:val="both"/>
        <w:rPr>
          <w:ins w:id="60" w:author="Unknown Author" w:date="0-00-00T00:00:00Z"/>
        </w:rPr>
      </w:pPr>
      <w:ins w:id="51" w:author="Unknown Author" w:date="0-00-00T00:00:00Z">
        <w:r>
          <w:rPr>
            <w:strike/>
          </w:rPr>
          <w:t xml:space="preserve">(B) 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ins>
      <w:ins w:id="52" w:author="Unknown Author" w:date="0-00-00T00:00:00Z">
        <w:r>
          <w:rPr>
            <w:rFonts w:cs="WP TypographicSymbols" w:ascii="WP TypographicSymbols" w:hAnsi="WP TypographicSymbols"/>
            <w:strike/>
          </w:rPr>
          <w:t>A</w:t>
        </w:r>
      </w:ins>
      <w:ins w:id="53" w:author="Unknown Author" w:date="0-00-00T00:00:00Z">
        <w:r>
          <w:rPr>
            <w:strike/>
          </w:rPr>
          <w:t>Majority Banks</w:t>
        </w:r>
      </w:ins>
      <w:ins w:id="54" w:author="Unknown Author" w:date="0-00-00T00:00:00Z">
        <w:r>
          <w:rPr>
            <w:rFonts w:cs="WP TypographicSymbols" w:ascii="WP TypographicSymbols" w:hAnsi="WP TypographicSymbols"/>
            <w:strike/>
          </w:rPr>
          <w:t>@</w:t>
        </w:r>
      </w:ins>
      <w:ins w:id="55" w:author="Unknown Author" w:date="0-00-00T00:00:00Z">
        <w:r>
          <w:rPr>
            <w:strike/>
          </w:rPr>
          <w:t xml:space="preserve"> used in such Section 5.02 shall mean the </w:t>
        </w:r>
      </w:ins>
      <w:ins w:id="56" w:author="Unknown Author" w:date="0-00-00T00:00:00Z">
        <w:r>
          <w:rPr>
            <w:rFonts w:cs="WP TypographicSymbols" w:ascii="WP TypographicSymbols" w:hAnsi="WP TypographicSymbols"/>
            <w:strike/>
          </w:rPr>
          <w:t>A</w:t>
        </w:r>
      </w:ins>
      <w:ins w:id="57" w:author="Unknown Author" w:date="0-00-00T00:00:00Z">
        <w:r>
          <w:rPr>
            <w:strike/>
          </w:rPr>
          <w:t>Majority Lenders</w:t>
        </w:r>
      </w:ins>
      <w:ins w:id="58" w:author="Unknown Author" w:date="0-00-00T00:00:00Z">
        <w:r>
          <w:rPr>
            <w:rFonts w:cs="WP TypographicSymbols" w:ascii="WP TypographicSymbols" w:hAnsi="WP TypographicSymbols"/>
            <w:strike/>
          </w:rPr>
          <w:t>@</w:t>
        </w:r>
      </w:ins>
      <w:ins w:id="59" w:author="Unknown Author" w:date="0-00-00T00:00:00Z">
        <w:r>
          <w:rPr>
            <w:strike/>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ins>
    </w:p>
    <w:p>
      <w:pPr>
        <w:pStyle w:val="Normal"/>
        <w:widowControl/>
        <w:spacing w:lineRule="auto" w:line="360"/>
        <w:jc w:val="both"/>
        <w:rPr>
          <w:strike/>
          <w:ins w:id="62" w:author="Unknown Author" w:date="0-00-00T00:00:00Z"/>
        </w:rPr>
      </w:pPr>
      <w:ins w:id="61" w:author="Unknown Author" w:date="0-00-00T00:00:00Z">
        <w:r>
          <w:rPr>
            <w:strike/>
          </w:rPr>
        </w:r>
      </w:ins>
    </w:p>
    <w:p>
      <w:pPr>
        <w:pStyle w:val="Normal"/>
        <w:widowControl/>
        <w:tabs>
          <w:tab w:val="clear" w:pos="720"/>
          <w:tab w:val="left" w:pos="-1440" w:leader="none"/>
        </w:tabs>
        <w:spacing w:lineRule="auto" w:line="360"/>
        <w:ind w:hanging="720" w:start="720" w:end="0"/>
        <w:jc w:val="both"/>
        <w:rPr/>
      </w:pPr>
      <w:ins w:id="63" w:author="Unknown Author" w:date="0-00-00T00:00:00Z">
        <w:r>
          <w:rPr>
            <w:strike/>
          </w:rPr>
          <w:t>(C)</w:t>
        </w:r>
      </w:ins>
      <w:ins w:id="64" w:author="Unknown Author" w:date="0-00-00T00:00:00Z">
        <w:r>
          <w:rPr>
            <w:b/>
            <w:u w:val="double"/>
          </w:rPr>
          <w:t>(D)</w:t>
        </w:r>
      </w:ins>
      <w:r>
        <w:rPr/>
        <w:tab/>
        <w:t>Party A represents and warrants to Party B as follows: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b/>
          <w:u w:val="double"/>
          <w:ins w:id="66" w:author="Unknown Author" w:date="0-00-00T00:00:00Z"/>
        </w:rPr>
      </w:pPr>
      <w:ins w:id="65" w:author="Unknown Author" w:date="0-00-00T00:00:00Z">
        <w:r>
          <w:rPr>
            <w:b/>
            <w:u w:val="double"/>
          </w:rPr>
          <w:t>(iv)</w:t>
          <w:tab/>
          <w:t>It is and will remain a Permitted Swap Party (as defined in the Facility Agreement).  [In Enron Guaranty, insert a provision whereby Enron undertakes to take an assignment of the swap if this rep is breached.]</w:t>
        </w:r>
      </w:ins>
    </w:p>
    <w:p>
      <w:pPr>
        <w:pStyle w:val="Normal"/>
        <w:widowControl/>
        <w:spacing w:lineRule="auto" w:line="360"/>
        <w:jc w:val="both"/>
        <w:rPr>
          <w:b/>
          <w:u w:val="double"/>
          <w:ins w:id="68" w:author="Unknown Author" w:date="0-00-00T00:00:00Z"/>
        </w:rPr>
      </w:pPr>
      <w:ins w:id="67" w:author="Unknown Author" w:date="0-00-00T00:00:00Z">
        <w:r>
          <w:rPr>
            <w:b/>
            <w:u w:val="double"/>
          </w:rPr>
        </w:r>
      </w:ins>
    </w:p>
    <w:p>
      <w:pPr>
        <w:pStyle w:val="Normal"/>
        <w:widowControl/>
        <w:tabs>
          <w:tab w:val="clear" w:pos="720"/>
          <w:tab w:val="left" w:pos="-1440" w:leader="none"/>
        </w:tabs>
        <w:spacing w:lineRule="auto" w:line="360"/>
        <w:ind w:hanging="720" w:start="2880" w:end="0"/>
        <w:jc w:val="both"/>
        <w:rPr>
          <w:b/>
          <w:u w:val="double"/>
        </w:rPr>
      </w:pPr>
      <w:ins w:id="69" w:author="Unknown Author" w:date="0-00-00T00:00:00Z">
        <w:r>
          <w:rPr>
            <w:b/>
            <w:u w:val="double"/>
          </w:rPr>
          <w:t>(v)</w:t>
          <w:tab/>
          <w:t>Its decisions regarding the merits of the Transaction are the results of arms</w:t>
          <w:noBreakHyphen/>
          <w:t>length negotiations.</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(c)</w:t>
        <w:tab/>
      </w:r>
      <w:r>
        <w:rPr>
          <w:b/>
        </w:rPr>
        <w:t>Additional Definitions.</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 xml:space="preserve">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spacing w:lineRule="auto" w:line="360"/>
        <w:jc w:val="both"/>
        <w:rPr/>
      </w:pPr>
      <w:r>
        <w:rPr/>
      </w:r>
    </w:p>
    <w:p>
      <w:pPr>
        <w:pStyle w:val="Normal"/>
        <w:widowControl/>
        <w:spacing w:lineRule="auto" w:line="360"/>
        <w:ind w:start="720" w:end="0"/>
        <w:jc w:val="both"/>
        <w:rPr/>
      </w:pPr>
      <w:ins w:id="70" w:author="Unknown Author" w:date="0-00-00T00:00:00Z">
        <w:r>
          <w:rPr>
            <w:rFonts w:cs="WP TypographicSymbols" w:ascii="WP TypographicSymbols" w:hAnsi="WP TypographicSymbols"/>
            <w:b/>
            <w:u w:val="double"/>
          </w:rPr>
          <w:t>A</w:t>
        </w:r>
      </w:ins>
      <w:ins w:id="71" w:author="Unknown Author" w:date="0-00-00T00:00:00Z">
        <w:r>
          <w:rPr>
            <w:b/>
            <w:u w:val="double"/>
          </w:rPr>
          <w:t>Notes</w:t>
        </w:r>
      </w:ins>
      <w:ins w:id="72" w:author="Unknown Author" w:date="0-00-00T00:00:00Z">
        <w:r>
          <w:rPr>
            <w:rFonts w:cs="WP TypographicSymbols" w:ascii="WP TypographicSymbols" w:hAnsi="WP TypographicSymbols"/>
            <w:b/>
            <w:u w:val="double"/>
          </w:rPr>
          <w:t>@</w:t>
        </w:r>
      </w:ins>
      <w:ins w:id="73" w:author="Unknown Author" w:date="0-00-00T00:00:00Z">
        <w:r>
          <w:rPr>
            <w:b/>
            <w:u w:val="double"/>
          </w:rPr>
          <w:t xml:space="preserve"> shall have the meaning set forth in the Facility Agreement.</w:t>
        </w:r>
      </w:ins>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(iii)</w:t>
        <w:tab/>
        <w:t>Status of Parties.  The other party is not acting as a fiduciary for or an adviser to it in respect of that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w:t>
      </w:r>
      <w:ins w:id="74" w:author="Unknown Author" w:date="0-00-00T00:00:00Z">
        <w:r>
          <w:rPr>
            <w:b/>
            <w:u w:val="double"/>
          </w:rPr>
          <w:t>, other than to parties to the Facility Agreement and to holders of Certificates issued by Party B,</w:t>
        </w:r>
      </w:ins>
      <w:r>
        <w:rPr/>
        <w:t xml:space="preserve">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spacing w:lineRule="auto" w:line="360"/>
        <w:jc w:val="both"/>
        <w:rPr/>
      </w:pPr>
      <w:r>
        <w:rPr/>
      </w:r>
    </w:p>
    <w:p>
      <w:pPr>
        <w:pStyle w:val="Normal"/>
        <w:widowControl/>
        <w:spacing w:lineRule="auto" w:line="360"/>
        <w:jc w:val="both"/>
        <w:rPr>
          <w:ins w:id="76" w:author="Unknown Author" w:date="0-00-00T00:00:00Z"/>
        </w:rPr>
      </w:pPr>
      <w:r>
        <w:rPr/>
        <w:t>(l)</w:t>
      </w:r>
      <w:ins w:id="75" w:author="Unknown Author" w:date="0-00-00T00:00:00Z">
        <w:r>
          <w:rPr>
            <w:strike/>
          </w:rPr>
          <w:t xml:space="preserve"> Credit Agreement Party A represents and warrants to Party B that attached hereto as Exhibit A is a true and complete copy of the Credit Agreement as in effect on the date hereof.</w:t>
        </w:r>
      </w:ins>
    </w:p>
    <w:p>
      <w:pPr>
        <w:pStyle w:val="Normal"/>
        <w:widowControl/>
        <w:spacing w:lineRule="auto" w:line="360"/>
        <w:jc w:val="both"/>
        <w:rPr>
          <w:strike/>
          <w:ins w:id="78" w:author="Unknown Author" w:date="0-00-00T00:00:00Z"/>
        </w:rPr>
      </w:pPr>
      <w:ins w:id="77" w:author="Unknown Author" w:date="0-00-00T00:00:00Z">
        <w:r>
          <w:rPr>
            <w:strike/>
          </w:rPr>
        </w:r>
      </w:ins>
    </w:p>
    <w:p>
      <w:pPr>
        <w:pStyle w:val="Normal"/>
        <w:widowControl/>
        <w:tabs>
          <w:tab w:val="clear" w:pos="720"/>
          <w:tab w:val="left" w:pos="-1440" w:leader="none"/>
        </w:tabs>
        <w:spacing w:lineRule="auto" w:line="360"/>
        <w:ind w:hanging="720" w:start="720" w:end="0"/>
        <w:jc w:val="both"/>
        <w:rPr/>
      </w:pPr>
      <w:ins w:id="79" w:author="Unknown Author" w:date="0-00-00T00:00:00Z">
        <w:r>
          <w:rPr>
            <w:strike/>
          </w:rPr>
          <w:t>(m)</w:t>
        </w:r>
      </w:ins>
      <w:r>
        <w:rPr/>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ins w:id="80" w:author="Unknown Author" w:date="0-00-00T00:00:00Z">
        <w:r>
          <w:rPr>
            <w:strike/>
          </w:rPr>
          <w:t>(n)</w:t>
        </w:r>
      </w:ins>
      <w:ins w:id="81" w:author="Unknown Author" w:date="0-00-00T00:00:00Z">
        <w:r>
          <w:rPr>
            <w:b/>
            <w:u w:val="double"/>
          </w:rPr>
          <w:t>(m)</w:t>
        </w:r>
      </w:ins>
      <w:r>
        <w:rPr/>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Part 2</w:t>
      </w:r>
    </w:p>
    <w:p>
      <w:pPr>
        <w:pStyle w:val="Normal"/>
        <w:widowControl/>
        <w:tabs>
          <w:tab w:val="clear" w:pos="720"/>
          <w:tab w:val="center" w:pos="4680" w:leader="none"/>
        </w:tabs>
        <w:spacing w:lineRule="auto" w:line="360"/>
        <w:jc w:val="both"/>
        <w:rPr/>
      </w:pPr>
      <w:r>
        <w:rPr/>
        <w:tab/>
      </w:r>
      <w:r>
        <w:rPr>
          <w:b/>
        </w:rPr>
        <w:t>Tax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The following representation applies to Party A:</w:t>
      </w:r>
    </w:p>
    <w:p>
      <w:pPr>
        <w:pStyle w:val="Normal"/>
        <w:widowControl/>
        <w:spacing w:lineRule="auto" w:line="360"/>
        <w:ind w:start="1440" w:end="0"/>
        <w:jc w:val="both"/>
        <w:rPr/>
      </w:pPr>
      <w:r>
        <w:rPr/>
        <w:t xml:space="preserve">Party A is a corporation organized under the laws of </w:t>
      </w:r>
      <w:ins w:id="82" w:author="Unknown Author" w:date="0-00-00T00:00:00Z">
        <w:r>
          <w:rPr>
            <w:b/>
            <w:strike/>
          </w:rPr>
          <w:t>the State of Oregon</w:t>
        </w:r>
      </w:ins>
      <w:ins w:id="83" w:author="Unknown Author" w:date="0-00-00T00:00:00Z">
        <w:r>
          <w:rPr>
            <w:b/>
            <w:u w:val="double"/>
          </w:rPr>
          <w:t>[_______]</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following representation applies to Party B:</w:t>
      </w:r>
    </w:p>
    <w:p>
      <w:pPr>
        <w:pStyle w:val="Normal"/>
        <w:widowControl/>
        <w:spacing w:lineRule="auto" w:line="360"/>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 xml:space="preserve">Part 3 </w:t>
      </w:r>
    </w:p>
    <w:p>
      <w:pPr>
        <w:pStyle w:val="Normal"/>
        <w:widowControl/>
        <w:tabs>
          <w:tab w:val="clear" w:pos="720"/>
          <w:tab w:val="center" w:pos="4680" w:leader="none"/>
        </w:tabs>
        <w:spacing w:lineRule="auto" w:line="360"/>
        <w:jc w:val="both"/>
        <w:rPr>
          <w:b/>
        </w:rPr>
      </w:pPr>
      <w:r>
        <w:rPr>
          <w:b/>
        </w:rPr>
        <w:tab/>
        <w:t>Agreement to Deliver Documents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t>For the purpose of Section 4(a), the Tax forms, documents, or certificates to be delivered are:</w:t>
      </w:r>
    </w:p>
    <w:p>
      <w:pPr>
        <w:pStyle w:val="Normal"/>
        <w:widowControl/>
        <w:spacing w:lineRule="auto" w:line="360"/>
        <w:ind w:firstLine="720" w:end="0"/>
        <w:jc w:val="both"/>
        <w:rPr/>
      </w:pPr>
      <w:r>
        <w:rPr/>
        <w:t>IRS Form 1001 or the successors thereto.</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t>Other documents to be delivered are:</w:t>
      </w:r>
    </w:p>
    <w:p>
      <w:pPr>
        <w:pStyle w:val="Normal"/>
        <w:widowControl/>
        <w:spacing w:lineRule="auto" w:line="360"/>
        <w:jc w:val="both"/>
        <w:rPr/>
      </w:pPr>
      <w:r>
        <w:rPr/>
      </w:r>
    </w:p>
    <w:p>
      <w:pPr>
        <w:pStyle w:val="Normal"/>
        <w:widowControl/>
        <w:spacing w:lineRule="auto" w:line="360"/>
        <w:ind w:start="720" w:end="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spacing w:lineRule="auto" w:line="360"/>
              <w:rPr>
                <w:b/>
              </w:rPr>
            </w:pPr>
            <w:r>
              <w:rPr>
                <w:b/>
              </w:rPr>
              <w:t>Party required</w:t>
            </w:r>
          </w:p>
          <w:p>
            <w:pPr>
              <w:pStyle w:val="Normal"/>
              <w:widowControl/>
              <w:spacing w:lineRule="auto" w:line="360"/>
              <w:rPr>
                <w:b/>
              </w:rPr>
            </w:pPr>
            <w:r>
              <w:rPr>
                <w:b/>
              </w:rPr>
              <w:t>to deliver</w:t>
            </w:r>
          </w:p>
          <w:p>
            <w:pPr>
              <w:pStyle w:val="Normal"/>
              <w:widowControl/>
              <w:spacing w:lineRule="auto" w:line="360"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lineRule="auto" w:line="360" w:before="0" w:after="58"/>
              <w:jc w:val="both"/>
              <w:rPr/>
            </w:pPr>
            <w:r>
              <w:rPr/>
              <w:t>Party A</w:t>
            </w:r>
          </w:p>
        </w:tc>
        <w:tc>
          <w:tcPr>
            <w:tcW w:w="2970" w:type="dxa"/>
            <w:tcBorders/>
          </w:tcPr>
          <w:p>
            <w:pPr>
              <w:pStyle w:val="Normal"/>
              <w:snapToGrid w:val="false"/>
              <w:spacing w:lineRule="exact" w:line="120"/>
              <w:rPr/>
            </w:pPr>
            <w:r>
              <w:rPr/>
            </w:r>
          </w:p>
          <w:p>
            <w:pPr>
              <w:pStyle w:val="Normal"/>
              <w:widowControl/>
              <w:spacing w:lineRule="auto" w:line="360"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lineRule="auto" w:line="360"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spacing w:lineRule="auto" w:line="360"/>
              <w:rPr/>
            </w:pPr>
            <w:r>
              <w:rPr/>
              <w:t>Evidence of authority of signatories substantially in the form attached as</w:t>
            </w:r>
          </w:p>
          <w:p>
            <w:pPr>
              <w:pStyle w:val="Normal"/>
              <w:widowControl/>
              <w:spacing w:lineRule="auto" w:line="360" w:before="0" w:after="58"/>
              <w:rPr/>
            </w:pPr>
            <w:r>
              <w:rPr/>
              <w:t>Exhibit C</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r>
      <w:ins w:id="84" w:author="Unknown Author" w:date="0-00-00T00:00:00Z">
        <w:r>
          <w:rPr>
            <w:b/>
            <w:strike/>
          </w:rPr>
          <w:t>Enron Corp.</w:t>
        </w:r>
      </w:ins>
      <w:ins w:id="85" w:author="Unknown Author" w:date="0-00-00T00:00:00Z">
        <w:r>
          <w:rPr>
            <w:b/>
            <w:u w:val="double"/>
          </w:rPr>
          <w:t>[Name]</w:t>
        </w:r>
      </w:ins>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 xml:space="preserve">Hawaii </w:t>
      </w:r>
      <w:ins w:id="86" w:author="Unknown Author" w:date="0-00-00T00:00:00Z">
        <w:r>
          <w:rPr>
            <w:b/>
            <w:u w:val="double"/>
          </w:rPr>
          <w:t>II</w:t>
        </w:r>
      </w:ins>
      <w:r>
        <w:rPr/>
        <w:t xml:space="preserve">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w:t>
      </w:r>
      <w:ins w:id="87" w:author="Unknown Author" w:date="0-00-00T00:00:00Z">
        <w:r>
          <w:rPr>
            <w:strike/>
          </w:rPr>
          <w:t>Not Applicable</w:t>
        </w:r>
      </w:ins>
      <w:r>
        <w:rPr/>
        <w:t xml:space="preserve"> </w:t>
      </w:r>
      <w:ins w:id="88" w:author="Unknown Author" w:date="0-00-00T00:00:00Z">
        <w:r>
          <w:rPr>
            <w:b/>
            <w:u w:val="double"/>
          </w:rPr>
          <w:t>The obligations of Party A will be guaranteed by Enron Corp. pursuant to the Enron Guaranty (as defined in the Facility Agreement).</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p>
    <w:p>
      <w:pPr>
        <w:pStyle w:val="Normal"/>
        <w:widowControl/>
        <w:spacing w:lineRule="auto" w:line="360"/>
        <w:ind w:start="720" w:end="0"/>
        <w:jc w:val="both"/>
        <w:rPr>
          <w:ins w:id="91" w:author="Unknown Author" w:date="0-00-00T00:00:00Z"/>
        </w:rPr>
      </w:pPr>
      <w:ins w:id="89" w:author="Unknown Author" w:date="0-00-00T00:00:00Z">
        <w:r>
          <w:rPr>
            <w:strike/>
          </w:rPr>
          <w:t>Not Applicable</w:t>
        </w:r>
      </w:ins>
      <w:ins w:id="90" w:author="Unknown Author" w:date="0-00-00T00:00:00Z">
        <w:r>
          <w:rPr>
            <w:b/>
            <w:u w:val="double"/>
          </w:rPr>
          <w:t>(i)</w:t>
          <w:tab/>
          <w:t>in relation to Party A, Enron Corp.</w:t>
        </w:r>
      </w:ins>
    </w:p>
    <w:p>
      <w:pPr>
        <w:pStyle w:val="Normal"/>
        <w:widowControl/>
        <w:spacing w:lineRule="auto" w:line="360"/>
        <w:ind w:firstLine="720" w:end="0"/>
        <w:jc w:val="both"/>
        <w:rPr>
          <w:b/>
          <w:u w:val="double"/>
        </w:rPr>
      </w:pPr>
      <w:ins w:id="92" w:author="Unknown Author" w:date="0-00-00T00:00:00Z">
        <w:r>
          <w:rPr>
            <w:b/>
            <w:u w:val="double"/>
          </w:rPr>
          <w:t>(ii)</w:t>
          <w:tab/>
          <w:t>in relation to Party B, not applicable.</w:t>
        </w:r>
      </w:ins>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ins w:id="93" w:author="Unknown Author" w:date="0-00-00T00:00:00Z">
        <w:r>
          <w:rPr>
            <w:strike/>
          </w:rPr>
          <w:t>(without reference to choice of law doctrine other than Section 5</w:t>
          <w:noBreakHyphen/>
          <w:t>1401 of the New York General Obligations Law)</w:t>
        </w:r>
      </w:ins>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ins w:id="94" w:author="Unknown Author" w:date="0-00-00T00:00:00Z">
        <w:r>
          <w:rPr>
            <w:b/>
            <w:strike/>
          </w:rPr>
          <w:t xml:space="preserve">Jurisdiction. The provisions of Section 13(b) are deleted in their entirety and replaced by the following: </w:t>
        </w:r>
      </w:ins>
      <w:ins w:id="95" w:author="Unknown Author" w:date="0-00-00T00:00:00Z">
        <w:r>
          <w:rPr>
            <w:rFonts w:cs="WP TypographicSymbols" w:ascii="WP TypographicSymbols" w:hAnsi="WP TypographicSymbols"/>
            <w:b/>
            <w:strike/>
          </w:rPr>
          <w:t>A</w:t>
        </w:r>
      </w:ins>
      <w:ins w:id="96" w:author="Unknown Author" w:date="0-00-00T00:00:00Z">
        <w:r>
          <w:rPr>
            <w:b/>
            <w:strike/>
          </w:rPr>
          <w:t>With respect to any suit, action, claim or proceeding</w:t>
        </w:r>
      </w:ins>
      <w:r>
        <w:rPr>
          <w:b/>
        </w:rPr>
        <w:t xml:space="preserve"> </w:t>
      </w:r>
      <w:ins w:id="97" w:author="Unknown Author" w:date="0-00-00T00:00:00Z">
        <w:r>
          <w:rPr>
            <w:b/>
            <w:u w:val="double"/>
          </w:rPr>
          <w:t xml:space="preserve">Arbitration.Agreement To Arbitrate:  Any claim, counterclaim, demand, cause of action, dispute, and controversy arising out of or </w:t>
        </w:r>
      </w:ins>
      <w:r>
        <w:rPr/>
        <w:t xml:space="preserve">relating to this Agreement </w:t>
      </w:r>
      <w:ins w:id="98" w:author="Unknown Author" w:date="0-00-00T00:00:00Z">
        <w:r>
          <w:rPr>
            <w:strike/>
          </w:rPr>
          <w:t>(</w:t>
        </w:r>
      </w:ins>
      <w:ins w:id="99" w:author="Unknown Author" w:date="0-00-00T00:00:00Z">
        <w:r>
          <w:rPr>
            <w:rFonts w:cs="WP TypographicSymbols" w:ascii="WP TypographicSymbols" w:hAnsi="WP TypographicSymbols"/>
            <w:strike/>
          </w:rPr>
          <w:t>@</w:t>
        </w:r>
      </w:ins>
      <w:ins w:id="100" w:author="Unknown Author" w:date="0-00-00T00:00:00Z">
        <w:r>
          <w:rPr>
            <w:strike/>
          </w:rPr>
          <w:t>Proceedings</w:t>
        </w:r>
      </w:ins>
      <w:ins w:id="101" w:author="Unknown Author" w:date="0-00-00T00:00:00Z">
        <w:r>
          <w:rPr>
            <w:rFonts w:cs="WP TypographicSymbols" w:ascii="WP TypographicSymbols" w:hAnsi="WP TypographicSymbols"/>
            <w:strike/>
          </w:rPr>
          <w:t>A</w:t>
        </w:r>
      </w:ins>
      <w:ins w:id="102" w:author="Unknown Author" w:date="0-00-00T00:00:00Z">
        <w:r>
          <w:rPr>
            <w:strike/>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r>
        <w:rPr/>
        <w:t xml:space="preserve"> </w:t>
      </w:r>
      <w:ins w:id="103" w:author="Unknown Author" w:date="0-00-00T00:00:00Z">
        <w:r>
          <w:rPr>
            <w:b/>
            <w:u w:val="double"/>
          </w:rPr>
          <w:t xml:space="preserve">or the relationship established by this Agreement, any provision hereof, the alleged breach thereof, or in any way relating to the subject matter of this Agreement, involving the parties and/or their respective representatives (collectively the </w:t>
        </w:r>
      </w:ins>
      <w:ins w:id="104" w:author="Unknown Author" w:date="0-00-00T00:00:00Z">
        <w:r>
          <w:rPr>
            <w:rFonts w:cs="WP TypographicSymbols" w:ascii="WP TypographicSymbols" w:hAnsi="WP TypographicSymbols"/>
            <w:b/>
            <w:u w:val="double"/>
          </w:rPr>
          <w:t>A</w:t>
        </w:r>
      </w:ins>
      <w:ins w:id="105" w:author="Unknown Author" w:date="0-00-00T00:00:00Z">
        <w:r>
          <w:rPr>
            <w:b/>
            <w:u w:val="double"/>
          </w:rPr>
          <w:t>Claims</w:t>
        </w:r>
      </w:ins>
      <w:ins w:id="106" w:author="Unknown Author" w:date="0-00-00T00:00:00Z">
        <w:r>
          <w:rPr>
            <w:rFonts w:cs="WP TypographicSymbols" w:ascii="WP TypographicSymbols" w:hAnsi="WP TypographicSymbols"/>
            <w:b/>
            <w:u w:val="double"/>
          </w:rPr>
          <w:t>@</w:t>
        </w:r>
      </w:ins>
      <w:ins w:id="107" w:author="Unknown Author" w:date="0-00-00T00:00:00Z">
        <w:r>
          <w:rPr>
            <w:b/>
            <w:u w:val="double"/>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ins w:id="112" w:author="Unknown Author" w:date="0-00-00T00:00:00Z"/>
        </w:rPr>
      </w:pPr>
      <w:ins w:id="108" w:author="Unknown Author" w:date="0-00-00T00:00:00Z">
        <w:r>
          <w:rPr>
            <w:strike/>
          </w:rPr>
          <w:t xml:space="preserve">(l) </w:t>
        </w:r>
      </w:ins>
      <w:ins w:id="109" w:author="Unknown Author" w:date="0-00-00T00:00:00Z">
        <w:r>
          <w:rPr>
            <w:b/>
            <w:u w:val="double"/>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w:t>
        </w:r>
      </w:ins>
      <w:ins w:id="110" w:author="Unknown Author" w:date="0-00-00T00:00:00Z">
        <w:r>
          <w:rPr>
            <w:rFonts w:cs="WP TypographicSymbols" w:ascii="WP TypographicSymbols" w:hAnsi="WP TypographicSymbols"/>
            <w:b/>
            <w:u w:val="double"/>
          </w:rPr>
          <w:t>=</w:t>
        </w:r>
      </w:ins>
      <w:ins w:id="111" w:author="Unknown Author" w:date="0-00-00T00:00:00Z">
        <w:r>
          <w:rPr>
            <w:b/>
            <w:u w:val="double"/>
          </w:rPr>
          <w:t xml:space="preserv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widowControl/>
        <w:spacing w:lineRule="auto" w:line="360"/>
        <w:jc w:val="both"/>
        <w:rPr>
          <w:b/>
          <w:u w:val="double"/>
          <w:ins w:id="114" w:author="Unknown Author" w:date="0-00-00T00:00:00Z"/>
        </w:rPr>
      </w:pPr>
      <w:ins w:id="113" w:author="Unknown Author" w:date="0-00-00T00:00:00Z">
        <w:r>
          <w:rPr>
            <w:b/>
            <w:u w:val="double"/>
          </w:rPr>
        </w:r>
      </w:ins>
    </w:p>
    <w:p>
      <w:pPr>
        <w:pStyle w:val="Normal"/>
        <w:widowControl/>
        <w:spacing w:lineRule="auto" w:line="360"/>
        <w:ind w:start="720" w:end="0"/>
        <w:jc w:val="both"/>
        <w:rPr>
          <w:ins w:id="118" w:author="Unknown Author" w:date="0-00-00T00:00:00Z"/>
        </w:rPr>
      </w:pPr>
      <w:ins w:id="115" w:author="Unknown Author" w:date="0-00-00T00:00:00Z">
        <w:r>
          <w:rPr>
            <w:b/>
            <w:u w:val="double"/>
          </w:rPr>
          <w:t>Forum For The Arbitration And Selection Of Arbitrators: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either party and does not have a direct or indirect interest in either party or the subject matter of the arbitration.  While the third arbitrator shall be neutral, the two party</w:t>
          <w:noBreakHyphen/>
          <w:t>appointed arbitrators are not required to be neutral, and it shall not be grounds for removal of either of the two party</w:t>
          <w:noBreakHyphen/>
          <w:t>appointed arbitrators or for vacating the arbitrators</w:t>
        </w:r>
      </w:ins>
      <w:ins w:id="116" w:author="Unknown Author" w:date="0-00-00T00:00:00Z">
        <w:r>
          <w:rPr>
            <w:rFonts w:cs="WP TypographicSymbols" w:ascii="WP TypographicSymbols" w:hAnsi="WP TypographicSymbols"/>
            <w:b/>
            <w:u w:val="double"/>
          </w:rPr>
          <w:t>=</w:t>
        </w:r>
      </w:ins>
      <w:ins w:id="117" w:author="Unknown Author" w:date="0-00-00T00:00:00Z">
        <w:r>
          <w:rPr>
            <w:b/>
            <w:u w:val="double"/>
          </w:rPr>
          <w:t xml:space="preserve"> award that either of such arbitrators has past or present minimal relationships with the party that appointed such arbitrator.</w:t>
        </w:r>
      </w:ins>
    </w:p>
    <w:p>
      <w:pPr>
        <w:pStyle w:val="Normal"/>
        <w:widowControl/>
        <w:spacing w:lineRule="auto" w:line="360"/>
        <w:jc w:val="both"/>
        <w:rPr>
          <w:b/>
          <w:u w:val="double"/>
          <w:ins w:id="120" w:author="Unknown Author" w:date="0-00-00T00:00:00Z"/>
        </w:rPr>
      </w:pPr>
      <w:ins w:id="119" w:author="Unknown Author" w:date="0-00-00T00:00:00Z">
        <w:r>
          <w:rPr>
            <w:b/>
            <w:u w:val="double"/>
          </w:rPr>
        </w:r>
      </w:ins>
    </w:p>
    <w:p>
      <w:pPr>
        <w:pStyle w:val="Normal"/>
        <w:widowControl/>
        <w:tabs>
          <w:tab w:val="clear" w:pos="720"/>
          <w:tab w:val="left" w:pos="-1440" w:leader="none"/>
        </w:tabs>
        <w:spacing w:lineRule="auto" w:line="360"/>
        <w:ind w:hanging="720" w:start="720" w:end="0"/>
        <w:jc w:val="both"/>
        <w:rPr/>
      </w:pPr>
      <w:ins w:id="121" w:author="Unknown Author" w:date="0-00-00T00:00:00Z">
        <w:r>
          <w:rPr>
            <w:b/>
            <w:u w:val="double"/>
          </w:rPr>
          <w:t>(l)</w:t>
          <w:tab/>
          <w:t>Owner Trustee</w:t>
        </w:r>
      </w:ins>
      <w:r>
        <w:rPr/>
        <w:t xml:space="preserve">  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jc w:val="both"/>
        <w:rPr/>
      </w:pPr>
      <w:r>
        <w:rPr/>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jc w:val="both"/>
        <w:rPr/>
      </w:pPr>
      <w:r>
        <w:rPr/>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in the case of Party A.  The </w:t>
      </w:r>
      <w:r>
        <w:rPr>
          <w:rFonts w:cs="WP TypographicSymbols" w:ascii="WP TypographicSymbols" w:hAnsi="WP TypographicSymbols"/>
        </w:rPr>
        <w:t>A</w:t>
      </w:r>
      <w:r>
        <w:rPr/>
        <w:t>Automatic Early Termination</w:t>
      </w:r>
      <w:r>
        <w:rPr>
          <w:rFonts w:cs="WP TypographicSymbols" w:ascii="WP TypographicSymbols" w:hAnsi="WP TypographicSymbols"/>
        </w:rPr>
        <w:t>@</w:t>
      </w:r>
      <w:r>
        <w:rPr/>
        <w:t xml:space="preserve"> provision of Section 6(a) will not apply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ins w:id="124" w:author="Unknown Author" w:date="0-00-00T00:00:00Z"/>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t>
      </w:r>
      <w:ins w:id="122" w:author="Unknown Author" w:date="0-00-00T00:00:00Z">
        <w:r>
          <w:rPr>
            <w:b/>
            <w:u w:val="double"/>
          </w:rPr>
          <w:t>shall mean the occurrence of a Guarantor Event of Default (as such term is defined in the Enron Guaranty).</w:t>
        </w:r>
      </w:ins>
      <w:r>
        <w:rPr/>
        <w:t xml:space="preserve"> </w:t>
      </w:r>
      <w:ins w:id="123" w:author="Unknown Author" w:date="0-00-00T00:00:00Z">
        <w:r>
          <w:rPr>
            <w:strike/>
          </w:rPr>
          <w:t>will apply. The following shall constitute an Additional Termination Event:</w:t>
        </w:r>
      </w:ins>
    </w:p>
    <w:p>
      <w:pPr>
        <w:pStyle w:val="Normal"/>
        <w:widowControl/>
        <w:spacing w:lineRule="auto" w:line="360"/>
        <w:jc w:val="both"/>
        <w:rPr>
          <w:strike/>
          <w:ins w:id="126" w:author="Unknown Author" w:date="0-00-00T00:00:00Z"/>
        </w:rPr>
      </w:pPr>
      <w:ins w:id="125" w:author="Unknown Author" w:date="0-00-00T00:00:00Z">
        <w:r>
          <w:rPr>
            <w:strike/>
          </w:rPr>
          <w:t xml:space="preserve">(a) Any material breach (which, in the case of a breach capable of remedy, remains unremedied 30 days after written notice of such breach is given to Party A by Party B) by Party A of: </w:t>
        </w:r>
      </w:ins>
    </w:p>
    <w:p>
      <w:pPr>
        <w:pStyle w:val="Normal"/>
        <w:widowControl/>
        <w:spacing w:lineRule="auto" w:line="360"/>
        <w:jc w:val="both"/>
        <w:rPr>
          <w:strike/>
          <w:ins w:id="128" w:author="Unknown Author" w:date="0-00-00T00:00:00Z"/>
        </w:rPr>
      </w:pPr>
      <w:ins w:id="127" w:author="Unknown Author" w:date="0-00-00T00:00:00Z">
        <w:r>
          <w:rPr>
            <w:strike/>
          </w:rPr>
          <w:t xml:space="preserve">(i) any of the covenants or </w:t>
        </w:r>
      </w:ins>
    </w:p>
    <w:p>
      <w:pPr>
        <w:pStyle w:val="Normal"/>
        <w:widowControl/>
        <w:spacing w:lineRule="auto" w:line="360"/>
        <w:jc w:val="both"/>
        <w:rPr>
          <w:strike/>
          <w:ins w:id="130" w:author="Unknown Author" w:date="0-00-00T00:00:00Z"/>
        </w:rPr>
      </w:pPr>
      <w:ins w:id="129" w:author="Unknown Author" w:date="0-00-00T00:00:00Z">
        <w:r>
          <w:rPr>
            <w:strike/>
          </w:rPr>
          <w:t>(ii) any of the representations or warranties set out or incorporated by reference in Part 1 (b) of this Schedule (except for the covenant incorporated by reference in Section (b)(2)(B) of Part 1 of this Schedule); or</w:t>
        </w:r>
      </w:ins>
    </w:p>
    <w:p>
      <w:pPr>
        <w:pStyle w:val="Normal"/>
        <w:widowControl/>
        <w:spacing w:lineRule="auto" w:line="360"/>
        <w:jc w:val="both"/>
        <w:rPr>
          <w:ins w:id="136" w:author="Unknown Author" w:date="0-00-00T00:00:00Z"/>
        </w:rPr>
      </w:pPr>
      <w:ins w:id="131" w:author="Unknown Author" w:date="0-00-00T00:00:00Z">
        <w:r>
          <w:rPr>
            <w:strike/>
          </w:rPr>
          <w:t xml:space="preserve">(b) the occurrence with respect to Party A of any of the events specified in Sections 6.01(d) (and for the avoidance of doubt </w:t>
        </w:r>
      </w:ins>
      <w:ins w:id="132" w:author="Unknown Author" w:date="0-00-00T00:00:00Z">
        <w:r>
          <w:rPr>
            <w:rFonts w:cs="WP TypographicSymbols" w:ascii="WP TypographicSymbols" w:hAnsi="WP TypographicSymbols"/>
            <w:strike/>
          </w:rPr>
          <w:t>A</w:t>
        </w:r>
      </w:ins>
      <w:ins w:id="133" w:author="Unknown Author" w:date="0-00-00T00:00:00Z">
        <w:r>
          <w:rPr>
            <w:strike/>
          </w:rPr>
          <w:t>Debt</w:t>
        </w:r>
      </w:ins>
      <w:ins w:id="134" w:author="Unknown Author" w:date="0-00-00T00:00:00Z">
        <w:r>
          <w:rPr>
            <w:rFonts w:cs="WP TypographicSymbols" w:ascii="WP TypographicSymbols" w:hAnsi="WP TypographicSymbols"/>
            <w:strike/>
          </w:rPr>
          <w:t>@</w:t>
        </w:r>
      </w:ins>
      <w:ins w:id="135" w:author="Unknown Author" w:date="0-00-00T00:00:00Z">
        <w:r>
          <w:rPr>
            <w:strike/>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 (d) or 6.01 (e), such provisions for the purposes of this paragraph (j) shall be deemed to be as they existed immediately prior to such event; or</w:t>
        </w:r>
      </w:ins>
    </w:p>
    <w:p>
      <w:pPr>
        <w:pStyle w:val="Normal"/>
        <w:widowControl/>
        <w:spacing w:lineRule="auto" w:line="360"/>
        <w:jc w:val="both"/>
        <w:rPr>
          <w:strike/>
          <w:ins w:id="138" w:author="Unknown Author" w:date="0-00-00T00:00:00Z"/>
        </w:rPr>
      </w:pPr>
      <w:ins w:id="137" w:author="Unknown Author" w:date="0-00-00T00:00:00Z">
        <w:r>
          <w:rPr>
            <w:strike/>
          </w:rPr>
          <w:t xml:space="preserve">(c) any breach of the covenant incorporated by reference in Section (b)(2)(B) of Part 1 of this Schedule; or </w:t>
        </w:r>
      </w:ins>
    </w:p>
    <w:p>
      <w:pPr>
        <w:pStyle w:val="Normal"/>
        <w:widowControl/>
        <w:spacing w:lineRule="auto" w:line="360"/>
        <w:jc w:val="both"/>
        <w:rPr>
          <w:strike/>
        </w:rPr>
      </w:pPr>
      <w:ins w:id="139" w:author="Unknown Author" w:date="0-00-00T00:00:00Z">
        <w:r>
          <w:rPr>
            <w:strike/>
          </w:rPr>
          <w:t>(d) any sum outstanding under the Facility Agreement is declared or becomes due and payable under Section 13.2(b) thereof following the occurrence of an Event of Default thereunder.</w:t>
        </w:r>
      </w:ins>
    </w:p>
    <w:p>
      <w:pPr>
        <w:pStyle w:val="Normal"/>
        <w:widowControl/>
        <w:spacing w:lineRule="auto" w:line="360"/>
        <w:ind w:start="720" w:end="0"/>
        <w:jc w:val="both"/>
        <w:rPr/>
      </w:pPr>
      <w:r>
        <w:rPr/>
        <w:t xml:space="preserve">For the purpose of the foregoing </w:t>
      </w:r>
      <w:ins w:id="140" w:author="Unknown Author" w:date="0-00-00T00:00:00Z">
        <w:r>
          <w:rPr>
            <w:b/>
            <w:u w:val="double"/>
          </w:rPr>
          <w:t>Additional</w:t>
        </w:r>
      </w:ins>
      <w:r>
        <w:rPr/>
        <w:t xml:space="preserve"> Termination Event, the Affected Party shall be Party A.</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ins w:id="144" w:author="Unknown Author" w:date="0-00-00T00:00:00Z"/>
        </w:rPr>
      </w:pPr>
      <w:r>
        <w:rPr/>
        <w:t>(g)</w:t>
        <w:tab/>
      </w:r>
      <w:ins w:id="141" w:author="Unknown Author" w:date="0-00-00T00:00:00Z">
        <w:r>
          <w:rPr>
            <w:b/>
            <w:strike/>
          </w:rPr>
          <w:t xml:space="preserve">Amendment of Credit Event Upon Merger. Section 5(b)(iv) is hereby amended by adding the following phrase between the closing parenthesis and the semicolon at the end thereof: </w:t>
        </w:r>
      </w:ins>
      <w:ins w:id="142" w:author="Unknown Author" w:date="0-00-00T00:00:00Z">
        <w:r>
          <w:rPr>
            <w:rFonts w:cs="WP TypographicSymbols" w:ascii="WP TypographicSymbols" w:hAnsi="WP TypographicSymbols"/>
            <w:b/>
            <w:strike/>
          </w:rPr>
          <w:t>A</w:t>
        </w:r>
      </w:ins>
      <w:ins w:id="143" w:author="Unknown Author" w:date="0-00-00T00:00:00Z">
        <w:r>
          <w:rPr>
            <w:b/>
            <w:u w:val="double"/>
          </w:rPr>
          <w:t>[The provisions of Section 5(a)(iv), (v), (vi) and (vii) except to the extent Section 5(a)(vii) is an Automatic Early Termination pursuant to Section 6(a)) will not apply to Party A.] [To be reviewed]</w:t>
        </w:r>
      </w:ins>
    </w:p>
    <w:p>
      <w:pPr>
        <w:pStyle w:val="Normal"/>
        <w:widowControl/>
        <w:spacing w:lineRule="auto" w:line="360"/>
        <w:jc w:val="both"/>
        <w:rPr>
          <w:b/>
          <w:u w:val="double"/>
          <w:ins w:id="146" w:author="Unknown Author" w:date="0-00-00T00:00:00Z"/>
        </w:rPr>
      </w:pPr>
      <w:ins w:id="145" w:author="Unknown Author" w:date="0-00-00T00:00:00Z">
        <w:r>
          <w:rPr>
            <w:b/>
            <w:u w:val="double"/>
          </w:rPr>
        </w:r>
      </w:ins>
    </w:p>
    <w:p>
      <w:pPr>
        <w:pStyle w:val="Normal"/>
        <w:widowControl/>
        <w:tabs>
          <w:tab w:val="clear" w:pos="720"/>
          <w:tab w:val="left" w:pos="-1440" w:leader="none"/>
        </w:tabs>
        <w:spacing w:lineRule="auto" w:line="360"/>
        <w:ind w:hanging="720" w:start="720" w:end="0"/>
        <w:jc w:val="both"/>
        <w:rPr/>
      </w:pPr>
      <w:ins w:id="147" w:author="Unknown Author" w:date="0-00-00T00:00:00Z">
        <w:r>
          <w:rPr>
            <w:b/>
            <w:u w:val="double"/>
          </w:rPr>
          <w:t>(h)</w:t>
          <w:tab/>
          <w:t>Severability.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w:t>
        </w:r>
      </w:ins>
      <w:r>
        <w:rPr/>
        <w:t xml:space="preserve"> provided, however, that </w:t>
      </w:r>
      <w:ins w:id="148" w:author="Unknown Author" w:date="0-00-00T00:00:00Z">
        <w:r>
          <w:rPr>
            <w:strike/>
          </w:rPr>
          <w:t xml:space="preserve">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provided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ins>
      <w:ins w:id="149" w:author="Unknown Author" w:date="0-00-00T00:00:00Z">
        <w:r>
          <w:rPr>
            <w:rFonts w:cs="WP TypographicSymbols" w:ascii="WP TypographicSymbols" w:hAnsi="WP TypographicSymbols"/>
            <w:strike/>
          </w:rPr>
          <w:t>A</w:t>
        </w:r>
      </w:ins>
      <w:ins w:id="150" w:author="Unknown Author" w:date="0-00-00T00:00:00Z">
        <w:r>
          <w:rPr>
            <w:strike/>
          </w:rPr>
          <w:t>Event of Default</w:t>
        </w:r>
      </w:ins>
      <w:ins w:id="151" w:author="Unknown Author" w:date="0-00-00T00:00:00Z">
        <w:r>
          <w:rPr>
            <w:rFonts w:cs="WP TypographicSymbols" w:ascii="WP TypographicSymbols" w:hAnsi="WP TypographicSymbols"/>
            <w:strike/>
          </w:rPr>
          <w:t>@</w:t>
        </w:r>
      </w:ins>
      <w:ins w:id="152" w:author="Unknown Author" w:date="0-00-00T00:00:00Z">
        <w:r>
          <w:rPr>
            <w:strike/>
          </w:rPr>
          <w:t xml:space="preserve"> shall be as the same existed immediately prior to such termination or amendment) or event which, with the giving of notice or the lapse of time, or both, would constitute such an Event of Default, would exist or result</w:t>
        </w:r>
      </w:ins>
      <w:ins w:id="153" w:author="Unknown Author" w:date="0-00-00T00:00:00Z">
        <w:r>
          <w:rPr>
            <w:rFonts w:cs="WP TypographicSymbols" w:ascii="WP TypographicSymbols" w:hAnsi="WP TypographicSymbols"/>
            <w:strike/>
          </w:rPr>
          <w:t>@</w:t>
        </w:r>
      </w:ins>
      <w:ins w:id="154" w:author="Unknown Author" w:date="0-00-00T00:00:00Z">
        <w:r>
          <w:rPr>
            <w:strike/>
          </w:rPr>
          <w:t>.</w:t>
        </w:r>
      </w:ins>
      <w:r>
        <w:rPr/>
        <w:t xml:space="preserve"> </w:t>
      </w:r>
      <w:ins w:id="155" w:author="Unknown Author" w:date="0-00-00T00:00:00Z">
        <w:r>
          <w:rPr>
            <w:b/>
            <w:u w:val="double"/>
          </w:rPr>
          <w:t>this severability provision shall not be applicable if any provision of Section 1, 2, 5 or 6 (or any definition or provision in Section 14 to the extent it relates to, or is used in or in connection with any such Section) shall be so held to be invalid or unenforceable.</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8640" w:start="8640" w:end="0"/>
        <w:jc w:val="both"/>
        <w:rPr/>
      </w:pPr>
      <w:ins w:id="156" w:author="Unknown Author" w:date="0-00-00T00:00:00Z">
        <w:r>
          <w:rPr>
            <w:strike/>
          </w:rPr>
          <w:t>(h) The provisions of Section 5(a)(iv), (v), (vi) and (vii) will not apply to Party A.</w:t>
        </w:r>
      </w:ins>
      <w:ins w:id="157" w:author="Unknown Author" w:date="0-00-00T00:00:00Z">
        <w:r>
          <w:rPr>
            <w:b/>
            <w:u w:val="double"/>
          </w:rPr>
          <w:t>(i)</w:t>
          <w:tab/>
          <w:t>Maximum Rate; Disclosure, etc.  Notwithstanding any provision to the contrary contained in this Agreement, the Default Rate, Non</w:t>
          <w:noBreakHyphen/>
          <w:t>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158" w:author="Unknown Author" w:date="0-00-00T00:00:00Z">
        <w:r>
          <w:rPr>
            <w:b/>
            <w:u w:val="double"/>
          </w:rPr>
          <w:t>II</w:t>
        </w:r>
      </w:ins>
      <w:r>
        <w:rPr>
          <w:b/>
        </w:rPr>
        <w:t xml:space="preserve"> 125</w:t>
        <w:noBreakHyphen/>
        <w:t>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r>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0" w:author="Unknown Author" w:date="0-00-00T00:00:00Z"/>
        </w:rPr>
      </w:pPr>
      <w:ins w:id="159" w:author="Unknown Author" w:date="0-00-00T00:00:00Z">
        <w:r>
          <w:rPr>
            <w:b/>
            <w:u w:val="double"/>
          </w:rPr>
          <w:t>[Permitted Swap Party]</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2" w:author="Unknown Author" w:date="0-00-00T00:00:00Z"/>
        </w:rPr>
      </w:pPr>
      <w:ins w:id="161"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4" w:author="Unknown Author" w:date="0-00-00T00:00:00Z"/>
        </w:rPr>
      </w:pPr>
      <w:ins w:id="163"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6" w:author="Unknown Author" w:date="0-00-00T00:00:00Z"/>
        </w:rPr>
      </w:pPr>
      <w:ins w:id="165"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68" w:author="Unknown Author" w:date="0-00-00T00:00:00Z"/>
        </w:rPr>
      </w:pPr>
      <w:ins w:id="167" w:author="Unknown Author" w:date="0-00-00T00:00:00Z">
        <w:r>
          <w:rPr>
            <w:b/>
            <w:u w:val="double"/>
          </w:rPr>
          <w:t>By:</w:t>
          <w:tab/>
          <w:tab/>
          <w:tab/>
          <w:tab/>
          <w:tab/>
          <w:tab/>
          <w:tab/>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0" w:author="Unknown Author" w:date="0-00-00T00:00:00Z"/>
        </w:rPr>
      </w:pPr>
      <w:ins w:id="169" w:author="Unknown Author" w:date="0-00-00T00:00:00Z">
        <w:r>
          <w:rPr>
            <w:b/>
            <w:u w:val="double"/>
          </w:rPr>
          <w:t>Name:</w:t>
          <w:tab/>
          <w:tab/>
          <w:tab/>
          <w:tab/>
          <w:tab/>
          <w:tab/>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2" w:author="Unknown Author" w:date="0-00-00T00:00:00Z"/>
        </w:rPr>
      </w:pPr>
      <w:ins w:id="171" w:author="Unknown Author" w:date="0-00-00T00:00:00Z">
        <w:r>
          <w:rPr>
            <w:b/>
            <w:u w:val="double"/>
          </w:rPr>
          <w:t>Title:</w:t>
          <w:tab/>
          <w:tab/>
          <w:tab/>
          <w:tab/>
          <w:tab/>
          <w:tab/>
        </w:r>
      </w:ins>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4" w:author="Unknown Author" w:date="0-00-00T00:00:00Z"/>
        </w:rPr>
      </w:pPr>
      <w:ins w:id="173"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6" w:author="Unknown Author" w:date="0-00-00T00:00:00Z"/>
        </w:rPr>
      </w:pPr>
      <w:ins w:id="175"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178" w:author="Unknown Author" w:date="0-00-00T00:00:00Z"/>
        </w:rPr>
      </w:pPr>
      <w:ins w:id="177" w:author="Unknown Author" w:date="0-00-00T00:00:00Z">
        <w:r>
          <w:rPr>
            <w:b/>
            <w:u w:val="double"/>
          </w:rPr>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b/>
          <w:u w:val="double"/>
        </w:rPr>
      </w:pPr>
      <w:ins w:id="179" w:author="Unknown Author" w:date="0-00-00T00:00:00Z">
        <w:r>
          <w:rPr>
            <w:b/>
            <w:u w:val="double"/>
          </w:rPr>
          <w:t>We hereby confirm that this is a Swap Schedule to which the Enron Guaranty will apply.</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6"/>
          <w:footerReference w:type="first" r:id="rId7"/>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OPINION]</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double"/>
        </w:rPr>
      </w:pPr>
      <w:ins w:id="180" w:author="Unknown Author" w:date="0-00-00T00:00:00Z">
        <w:r>
          <w:rPr>
            <w:b/>
            <w:u w:val="double"/>
          </w:rPr>
          <w:t>Exhibit B</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1.</w:t>
        <w:tab/>
        <w:t xml:space="preserve">The ISDA Master Agreement dated as of </w:t>
      </w:r>
      <w:ins w:id="181" w:author="Unknown Author" w:date="0-00-00T00:00:00Z">
        <w:r>
          <w:rPr>
            <w:strike/>
          </w:rPr>
          <w:t>March __</w:t>
        </w:r>
      </w:ins>
      <w:ins w:id="182" w:author="Unknown Author" w:date="0-00-00T00:00:00Z">
        <w:r>
          <w:rPr>
            <w:b/>
            <w:u w:val="double"/>
          </w:rPr>
          <w:t>November 17</w:t>
        </w:r>
      </w:ins>
      <w:r>
        <w:rPr/>
        <w:t xml:space="preserve">,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w:t>
      </w:r>
      <w:ins w:id="183" w:author="Unknown Author" w:date="0-00-00T00:00:00Z">
        <w:r>
          <w:rPr>
            <w:b/>
            <w:u w:val="double"/>
          </w:rPr>
          <w:t>II</w:t>
        </w:r>
      </w:ins>
      <w:r>
        <w:rPr/>
        <w:t> 125</w:t>
        <w:noBreakHyphen/>
        <w:t xml:space="preserve">0 </w:t>
      </w:r>
      <w:ins w:id="184" w:author="Unknown Author" w:date="0-00-00T00:00:00Z">
        <w:r>
          <w:rPr>
            <w:b/>
            <w:u w:val="double"/>
          </w:rPr>
          <w:t>Trust</w:t>
        </w:r>
      </w:ins>
      <w:r>
        <w:rPr/>
        <w:t xml:space="preserve">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ind w:firstLine="5760" w:end="0"/>
        <w:jc w:val="both"/>
        <w:rPr>
          <w:u w:val="single"/>
        </w:rPr>
      </w:pP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b/>
        </w:rPr>
        <w:t>IN WITNESS WHEREOF,</w:t>
      </w:r>
      <w:r>
        <w:rPr/>
        <w:t xml:space="preserve"> the undersigned has executed this certificate the </w:t>
      </w:r>
      <w:ins w:id="185" w:author="Unknown Author" w:date="0-00-00T00:00:00Z">
        <w:r>
          <w:rPr>
            <w:strike/>
          </w:rPr>
          <w:t>___</w:t>
        </w:r>
      </w:ins>
      <w:ins w:id="186" w:author="Unknown Author" w:date="0-00-00T00:00:00Z">
        <w:r>
          <w:rPr>
            <w:b/>
            <w:u w:val="double"/>
          </w:rPr>
          <w:t>15</w:t>
        </w:r>
      </w:ins>
      <w:ins w:id="187" w:author="Unknown Author" w:date="0-00-00T00:00:00Z">
        <w:r>
          <w:rPr>
            <w:b/>
            <w:u w:val="double"/>
            <w:vertAlign w:val="superscript"/>
          </w:rPr>
          <w:t>th</w:t>
        </w:r>
      </w:ins>
      <w:r>
        <w:rPr/>
        <w:t xml:space="preserve"> day of </w:t>
      </w:r>
      <w:ins w:id="188" w:author="Unknown Author" w:date="0-00-00T00:00:00Z">
        <w:r>
          <w:rPr>
            <w:strike/>
          </w:rPr>
          <w:t>March</w:t>
        </w:r>
      </w:ins>
      <w:r>
        <w:rPr/>
        <w:t xml:space="preserve"> </w:t>
      </w:r>
      <w:ins w:id="189" w:author="Unknown Author" w:date="0-00-00T00:00:00Z">
        <w:r>
          <w:rPr>
            <w:b/>
            <w:u w:val="double"/>
          </w:rPr>
          <w:t>November</w:t>
        </w:r>
      </w:ins>
      <w:r>
        <w:rPr/>
        <w:t>,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190" w:author="Unknown Author" w:date="0-00-00T00:00:00Z">
        <w:r>
          <w:rPr>
            <w:b/>
            <w:strike/>
          </w:rPr>
          <w:t>ENRON CORP.</w:t>
        </w:r>
      </w:ins>
      <w:ins w:id="191" w:author="Unknown Author" w:date="0-00-00T00:00:00Z">
        <w:r>
          <w:rPr>
            <w:b/>
            <w:u w:val="double"/>
          </w:rPr>
          <w:t>[Name of Permitted Swap Party]</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 xml:space="preserve">I, </w:t>
      </w:r>
      <w:r>
        <w:rPr>
          <w:u w:val="single"/>
        </w:rPr>
        <w:tab/>
        <w:tab/>
        <w:tab/>
        <w:tab/>
      </w:r>
      <w:r>
        <w:rPr/>
        <w:t xml:space="preserve">, a </w:t>
      </w:r>
      <w:r>
        <w:rPr>
          <w:u w:val="single"/>
        </w:rPr>
        <w:tab/>
        <w:tab/>
        <w:tab/>
        <w:tab/>
      </w:r>
      <w:r>
        <w:rPr/>
        <w:t xml:space="preserve"> of </w:t>
      </w:r>
      <w:ins w:id="192" w:author="Unknown Author" w:date="0-00-00T00:00:00Z">
        <w:r>
          <w:rPr>
            <w:b/>
            <w:strike/>
          </w:rPr>
          <w:t>Enron Corp.</w:t>
        </w:r>
      </w:ins>
      <w:ins w:id="193" w:author="Unknown Author" w:date="0-00-00T00:00:00Z">
        <w:r>
          <w:rPr>
            <w:b/>
            <w:u w:val="double"/>
          </w:rPr>
          <w:t>[Name],</w:t>
        </w:r>
      </w:ins>
      <w:r>
        <w:rPr/>
        <w:t xml:space="preserve">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w:t>
      </w:r>
      <w:ins w:id="194" w:author="Unknown Author" w:date="0-00-00T00:00:00Z">
        <w:r>
          <w:rPr>
            <w:b/>
            <w:strike/>
          </w:rPr>
          <w:t>Oregon corporation</w:t>
        </w:r>
      </w:ins>
      <w:ins w:id="195" w:author="Unknown Author" w:date="0-00-00T00:00:00Z">
        <w:r>
          <w:rPr>
            <w:b/>
            <w:u w:val="double"/>
          </w:rPr>
          <w:t>[____________]</w:t>
        </w:r>
      </w:ins>
      <w:r>
        <w:rPr/>
        <w:t xml:space="preserve">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b/>
        </w:rPr>
        <w:t>IN WITNESS WHEREOF,</w:t>
      </w:r>
      <w:r>
        <w:rPr/>
        <w:t xml:space="preserve"> I have hereunto signed my name the ____ day of </w:t>
      </w:r>
      <w:ins w:id="196" w:author="Unknown Author" w:date="0-00-00T00:00:00Z">
        <w:r>
          <w:rPr>
            <w:strike/>
          </w:rPr>
          <w:t>March</w:t>
        </w:r>
      </w:ins>
      <w:r>
        <w:rPr/>
        <w:t xml:space="preserve"> </w:t>
      </w:r>
      <w:ins w:id="197" w:author="Unknown Author" w:date="0-00-00T00:00:00Z">
        <w:r>
          <w:rPr>
            <w:b/>
            <w:u w:val="double"/>
          </w:rPr>
          <w:t>November</w:t>
        </w:r>
      </w:ins>
      <w:r>
        <w:rPr/>
        <w:t>,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3600" w:end="0"/>
        <w:jc w:val="both"/>
        <w:rPr/>
      </w:pPr>
      <w:r>
        <w:rPr/>
        <w:t xml:space="preserve">Name: </w:t>
      </w:r>
      <w:r>
        <w:rPr>
          <w:u w:val="single"/>
        </w:rPr>
        <w:tab/>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3600" w:end="0"/>
        <w:jc w:val="both"/>
        <w:rPr/>
      </w:pPr>
      <w:r>
        <w:rPr/>
        <w:t xml:space="preserve">Title: </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98" w:author="Unknown Author" w:date="0-00-00T00:00:00Z">
        <w:r>
          <w:rPr>
            <w:strike/>
          </w:rPr>
          <w:t>232882.5</w:t>
        </w:r>
      </w:ins>
      <w:r>
        <w:rPr/>
        <w:t xml:space="preserve"> </w:t>
      </w:r>
      <w:ins w:id="199" w:author="Unknown Author" w:date="0-00-00T00:00:00Z">
        <w:r>
          <w:rPr>
            <w:b/>
            <w:u w:val="double"/>
          </w:rPr>
          <w:t>265279.3</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00" w:author="Unknown Author" w:date="0-00-00T00:00:00Z">
        <w:r>
          <w:rPr>
            <w:strike/>
          </w:rPr>
          <w:t>125</w:t>
          <w:noBreakHyphen/>
          <w:t>0/Swap</w:t>
        </w:r>
      </w:ins>
      <w:r>
        <w:rPr/>
        <w:t xml:space="preserve"> </w:t>
      </w:r>
      <w:ins w:id="201" w:author="Unknown Author" w:date="0-00-00T00:00:00Z">
        <w:r>
          <w:rPr>
            <w:b/>
            <w:u w:val="double"/>
          </w:rPr>
          <w:t>II/Swap</w:t>
        </w:r>
      </w:ins>
      <w:r>
        <w:rPr/>
        <w:t xml:space="preserve"> Schedule </w:t>
        <w:noBreakHyphen/>
        <w:t xml:space="preserve"> Signature Page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02" w:author="Unknown Author" w:date="0-00-00T00:00:00Z">
        <w:r>
          <w:rPr>
            <w:strike/>
          </w:rPr>
          <w:t>125</w:t>
          <w:noBreakHyphen/>
          <w:t>0/Exhibit</w:t>
        </w:r>
      </w:ins>
      <w:r>
        <w:rPr/>
        <w:t xml:space="preserve"> </w:t>
      </w:r>
      <w:ins w:id="203" w:author="Unknown Author" w:date="0-00-00T00:00:00Z">
        <w:r>
          <w:rPr>
            <w:b/>
            <w:u w:val="double"/>
          </w:rPr>
          <w:t>II/Exhibit</w:t>
        </w:r>
      </w:ins>
      <w:r>
        <w:rPr/>
        <w:t xml:space="preserve"> C to Swap Schedule </w:t>
        <w:noBreakHyphen/>
        <w:t xml:space="preserve"> Signature Page</w:t>
      </w:r>
    </w:p>
    <w:p>
      <w:pPr>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C:\WINDOWS\TEMP\DAL_232882_5</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C:\WINDOWS\TEMP\DAL_265279.3</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37 change(s) in the text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6"/>
      <w:footerReference w:type="first" r:id="rId17"/>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DAL:265279.3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77165"/>
              <wp:effectExtent l="0" t="0" r="0" b="0"/>
              <wp:wrapTopAndBottom/>
              <wp:docPr id="3" name="Frame4"/>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II/Exhibit C to Swap Schedule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DAL:265279.3</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II/Exhibit C to Swap Schedule - Signature Page</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DAL:265279.3</w:t>
                    </w:r>
                  </w:p>
                </w:txbxContent>
              </v:textbox>
              <w10:wrap type="topAndBottom"/>
            </v:rect>
          </w:pict>
        </mc:Fallback>
      </mc:AlternateContent>
    </w:r>
  </w:p>
  <w:p>
    <w:pPr>
      <w:pStyle w:val="Normal"/>
      <w:jc w:val="both"/>
      <w:rPr>
        <w:sz w:val="18"/>
      </w:rPr>
    </w:pPr>
    <w:r>
      <w:rPr>
        <w:sz w:val="18"/>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DAL:265279.3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DAL:265279.3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 xml:space="preserve">A - </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 xml:space="preserve">A - </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2000-11-09T01:46:00Z</dcterms:created>
  <dc:creator>A&amp;K</dc:creator>
  <dc:description/>
  <dc:language>en-CA</dc:language>
  <cp:lastModifiedBy>A&amp;K</cp:lastModifiedBy>
  <dcterms:modified xsi:type="dcterms:W3CDTF">2000-11-09T01:46:00Z</dcterms:modified>
  <cp:revision>2</cp:revision>
  <dc:subject/>
  <dc:title>DRAFT OF NOVEMBER 8, 2000</dc:title>
</cp:coreProperties>
</file>