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r>
        <w:rPr/>
        <w:t>November 15,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t xml:space="preserve">Enron Corp. </w:t>
      </w:r>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Hawaii II 125</w:t>
        <w:noBreakHyphen/>
        <w:t>0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tabs>
          <w:tab w:val="clear" w:pos="720"/>
          <w:tab w:val="center" w:pos="4680" w:leader="none"/>
        </w:tabs>
        <w:jc w:val="both"/>
        <w:rPr/>
      </w:pPr>
      <w:r>
        <w:rPr/>
        <w:tab/>
      </w:r>
      <w:r>
        <w:rPr>
          <w:b/>
        </w:rPr>
        <w:t>General Provisions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jc w:val="both"/>
        <w:rPr/>
      </w:pPr>
      <w:r>
        <w:rPr/>
      </w:r>
    </w:p>
    <w:p>
      <w:pPr>
        <w:pStyle w:val="Normal"/>
        <w:widowControl/>
        <w:tabs>
          <w:tab w:val="clear" w:pos="720"/>
          <w:tab w:val="left" w:pos="-1440" w:leader="none"/>
        </w:tabs>
        <w:ind w:hanging="720" w:start="720" w:end="0"/>
        <w:jc w:val="both"/>
        <w:rPr/>
      </w:pPr>
      <w:r>
        <w:rPr/>
        <w:t>(b)</w:t>
        <w:tab/>
      </w:r>
      <w:r>
        <w:rPr>
          <w:b/>
        </w:rPr>
        <w:t>Representations, Warranties and Covenants.</w:t>
      </w:r>
    </w:p>
    <w:p>
      <w:pPr>
        <w:pStyle w:val="Normal"/>
        <w:widowControl/>
        <w:jc w:val="both"/>
        <w:rPr/>
      </w:pPr>
      <w:r>
        <w:rPr/>
      </w:r>
    </w:p>
    <w:p>
      <w:pPr>
        <w:pStyle w:val="Normal"/>
        <w:widowControl/>
        <w:ind w:start="720" w:end="0"/>
        <w:jc w:val="both"/>
        <w:rPr/>
      </w:pPr>
      <w:r>
        <w:rPr/>
        <w:t>(1)</w:t>
        <w:tab/>
        <w:t>Party A and Party B each represents and warrants to the other that:</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jc w:val="both"/>
        <w:rPr/>
      </w:pPr>
      <w:r>
        <w:rPr/>
      </w:r>
    </w:p>
    <w:p>
      <w:pPr>
        <w:pStyle w:val="Normal"/>
        <w:widowControl/>
        <w:tabs>
          <w:tab w:val="clear" w:pos="720"/>
          <w:tab w:val="left" w:pos="-1440" w:leader="none"/>
        </w:tabs>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pStyle w:val="Normal"/>
        <w:widowControl/>
        <w:jc w:val="both"/>
        <w:rPr/>
      </w:pPr>
      <w:r>
        <w:rPr/>
      </w:r>
    </w:p>
    <w:p>
      <w:pPr>
        <w:pStyle w:val="Normal"/>
        <w:widowControl/>
        <w:tabs>
          <w:tab w:val="clear" w:pos="720"/>
          <w:tab w:val="left" w:pos="-1440" w:leader="none"/>
        </w:tabs>
        <w:ind w:hanging="1440" w:start="2160" w:end="0"/>
        <w:jc w:val="both"/>
        <w:rPr/>
      </w:pPr>
      <w:r>
        <w:rPr/>
        <w:t>(2)</w:t>
        <w:tab/>
        <w:t>(A)</w:t>
        <w:tab/>
        <w:t>Party A covenants until all amounts of principal, interest and all other amounts due to the Lenders under the Facility Agreement have been paid in full:</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to make available on a substantially continuous basis either on </w:t>
      </w:r>
      <w:r>
        <w:rPr>
          <w:rFonts w:cs="WP TypographicSymbols" w:ascii="WP TypographicSymbols" w:hAnsi="WP TypographicSymbols"/>
        </w:rPr>
        <w:t>A</w:t>
      </w:r>
      <w:r>
        <w:rPr/>
        <w:t>EDGAR</w:t>
      </w:r>
      <w:r>
        <w:rPr>
          <w:rFonts w:cs="WP TypographicSymbols" w:ascii="WP TypographicSymbols" w:hAnsi="WP TypographicSymbols"/>
        </w:rPr>
        <w:t>@</w:t>
      </w:r>
      <w:r>
        <w:rPr/>
        <w:t xml:space="preserve"> or Party A</w:t>
      </w:r>
      <w:r>
        <w:rPr>
          <w:rFonts w:cs="WP TypographicSymbols" w:ascii="WP TypographicSymbols" w:hAnsi="WP TypographicSymbols"/>
        </w:rPr>
        <w:t>=</w:t>
      </w:r>
      <w:r>
        <w:rPr/>
        <w:t xml:space="preserve">s home page on the </w:t>
      </w:r>
      <w:r>
        <w:rPr>
          <w:rFonts w:cs="WP TypographicSymbols" w:ascii="WP TypographicSymbols" w:hAnsi="WP TypographicSymbols"/>
        </w:rPr>
        <w:t>A</w:t>
      </w:r>
      <w:r>
        <w:rPr/>
        <w:t>World Wide Web</w:t>
      </w:r>
      <w:r>
        <w:rPr>
          <w:rFonts w:cs="WP TypographicSymbols" w:ascii="WP TypographicSymbols" w:hAnsi="WP TypographicSymbols"/>
        </w:rPr>
        <w:t>@</w:t>
      </w:r>
      <w:r>
        <w:rPr/>
        <w:t xml:space="preserve"> at www.enron.com, or otherwise to transmit to Party B  (1) promptly after the sending or filing thereof, a copy of each of Party A</w:t>
      </w:r>
      <w:r>
        <w:rPr>
          <w:rFonts w:cs="WP TypographicSymbols" w:ascii="WP TypographicSymbols" w:hAnsi="WP TypographicSymbols"/>
        </w:rPr>
        <w:t>=</w:t>
      </w:r>
      <w:r>
        <w:rPr/>
        <w:t>s reports on Form 8</w:t>
        <w:noBreakHyphen/>
        <w:t>K (or any comparable form), (2) promptly after the filing or sending thereof, and in any event within 45 days after the end of each of the first three fiscal quarters of each fiscal year of Party A, a copy of Party A</w:t>
      </w:r>
      <w:r>
        <w:rPr>
          <w:rFonts w:cs="WP TypographicSymbols" w:ascii="WP TypographicSymbols" w:hAnsi="WP TypographicSymbols"/>
        </w:rPr>
        <w:t>=</w:t>
      </w:r>
      <w:r>
        <w:rPr/>
        <w:t>s report on Form 10</w:t>
        <w:noBreakHyphen/>
        <w:t>Q (or any comparable form) for such quarter, which report will include Party A</w:t>
      </w:r>
      <w:r>
        <w:rPr>
          <w:rFonts w:cs="WP TypographicSymbols" w:ascii="WP TypographicSymbols" w:hAnsi="WP TypographicSymbols"/>
        </w:rPr>
        <w:t>=</w:t>
      </w:r>
      <w:r>
        <w:rPr/>
        <w:t>s quarterly unaudited consolidated financial statements as of the end of and for such quarter, and (3) promptly after the filing or sending thereof, and in any event within 90 days after the end of each fiscal year of Party A, a copy of Party A</w:t>
      </w:r>
      <w:r>
        <w:rPr>
          <w:rFonts w:cs="WP TypographicSymbols" w:ascii="WP TypographicSymbols" w:hAnsi="WP TypographicSymbols"/>
        </w:rPr>
        <w:t>=</w:t>
      </w:r>
      <w:r>
        <w:rPr/>
        <w:t>s annual report which it sends to its public security holders, and a copy of Party A</w:t>
      </w:r>
      <w:r>
        <w:rPr>
          <w:rFonts w:cs="WP TypographicSymbols" w:ascii="WP TypographicSymbols" w:hAnsi="WP TypographicSymbols"/>
        </w:rPr>
        <w:t>=</w:t>
      </w:r>
      <w:r>
        <w:rPr/>
        <w:t>s report on Form 10</w:t>
        <w:noBreakHyphen/>
        <w:t>K (or any comparable form) for such year, which annual report will include Party A</w:t>
      </w:r>
      <w:r>
        <w:rPr>
          <w:rFonts w:cs="WP TypographicSymbols" w:ascii="WP TypographicSymbols" w:hAnsi="WP TypographicSymbols"/>
        </w:rPr>
        <w:t>=</w:t>
      </w:r>
      <w:r>
        <w:rPr/>
        <w:t>s annual audited consolidated financial statements as of the end of and for such year.</w:t>
      </w:r>
    </w:p>
    <w:p>
      <w:pPr>
        <w:pStyle w:val="Normal"/>
        <w:widowControl/>
        <w:jc w:val="both"/>
        <w:rPr/>
      </w:pPr>
      <w:r>
        <w:rPr/>
      </w:r>
    </w:p>
    <w:p>
      <w:pPr>
        <w:pStyle w:val="Normal"/>
        <w:widowControl/>
        <w:tabs>
          <w:tab w:val="clear" w:pos="720"/>
          <w:tab w:val="left" w:pos="-1440" w:leader="none"/>
        </w:tabs>
        <w:ind w:hanging="720" w:start="2880" w:end="0"/>
        <w:jc w:val="both"/>
        <w:rPr/>
      </w:pPr>
      <w:r>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jc w:val="both"/>
        <w:rPr/>
      </w:pPr>
      <w:r>
        <w:rPr/>
      </w:r>
    </w:p>
    <w:p>
      <w:pPr>
        <w:pStyle w:val="Normal"/>
        <w:widowControl/>
        <w:tabs>
          <w:tab w:val="clear" w:pos="720"/>
          <w:tab w:val="left" w:pos="-1440" w:leader="none"/>
        </w:tabs>
        <w:ind w:hanging="720" w:start="2880" w:end="0"/>
        <w:jc w:val="both"/>
        <w:rPr/>
      </w:pPr>
      <w:r>
        <w:rPr/>
        <w:t>(iii)</w:t>
        <w:tab/>
        <w:t>to cause the Asset LLCs and the Transferor LLCs not to incur or suffer to exist any Indebtedness (as defined in the Facility Agreement).</w:t>
      </w:r>
    </w:p>
    <w:p>
      <w:pPr>
        <w:pStyle w:val="Normal"/>
        <w:widowControl/>
        <w:jc w:val="both"/>
        <w:rPr/>
      </w:pPr>
      <w:r>
        <w:rPr/>
      </w:r>
    </w:p>
    <w:p>
      <w:pPr>
        <w:pStyle w:val="Normal"/>
        <w:widowControl/>
        <w:tabs>
          <w:tab w:val="clear" w:pos="720"/>
          <w:tab w:val="left" w:pos="-1440" w:leader="none"/>
        </w:tabs>
        <w:ind w:hanging="720" w:start="2880" w:end="0"/>
        <w:jc w:val="both"/>
        <w:rPr/>
      </w:pPr>
      <w:r>
        <w:rPr/>
        <w:t>(iv)</w:t>
        <w:tab/>
        <w:t>that the applicable Sponsor (as defined in the Facility Agreement) will remain at all times the sole Managing Member of each Asset LLC and each Transferor LLC.</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(B)</w:t>
        <w:tab/>
        <w:t xml:space="preserve">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w:t>
      </w:r>
      <w:r>
        <w:rPr>
          <w:rFonts w:cs="WP TypographicSymbols" w:ascii="WP TypographicSymbols" w:hAnsi="WP TypographicSymbols"/>
        </w:rPr>
        <w:t>A</w:t>
      </w:r>
      <w:r>
        <w:rPr/>
        <w:t>Majority Banks</w:t>
      </w:r>
      <w:r>
        <w:rPr>
          <w:rFonts w:cs="WP TypographicSymbols" w:ascii="WP TypographicSymbols" w:hAnsi="WP TypographicSymbols"/>
        </w:rPr>
        <w:t>@</w:t>
      </w:r>
      <w:r>
        <w:rPr/>
        <w:t xml:space="preserve"> used in such Section 5.02 shall mean the </w:t>
      </w:r>
      <w:r>
        <w:rPr>
          <w:rFonts w:cs="WP TypographicSymbols" w:ascii="WP TypographicSymbols" w:hAnsi="WP TypographicSymbols"/>
        </w:rPr>
        <w:t>A</w:t>
      </w:r>
      <w:r>
        <w:rPr/>
        <w:t>Majority Lenders</w:t>
      </w:r>
      <w:r>
        <w:rPr>
          <w:rFonts w:cs="WP TypographicSymbols" w:ascii="WP TypographicSymbols" w:hAnsi="WP TypographicSymbols"/>
        </w:rPr>
        <w:t>@</w:t>
      </w:r>
      <w:r>
        <w:rPr/>
        <w:t xml:space="preserve">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jc w:val="both"/>
        <w:rPr/>
      </w:pPr>
      <w:r>
        <w:rPr/>
      </w:r>
    </w:p>
    <w:p>
      <w:pPr>
        <w:pStyle w:val="Normal"/>
        <w:widowControl/>
        <w:tabs>
          <w:tab w:val="clear" w:pos="720"/>
          <w:tab w:val="left" w:pos="-1440" w:leader="none"/>
        </w:tabs>
        <w:ind w:hanging="720" w:start="2160" w:end="0"/>
        <w:jc w:val="both"/>
        <w:rPr/>
      </w:pPr>
      <w:r>
        <w:rPr/>
        <w:t>(C)</w:t>
        <w:tab/>
        <w:t>Party A represents and warrants to Party B as follows:</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jc w:val="both"/>
        <w:rPr/>
      </w:pPr>
      <w:r>
        <w:rPr/>
      </w:r>
    </w:p>
    <w:p>
      <w:pPr>
        <w:pStyle w:val="Normal"/>
        <w:widowControl/>
        <w:tabs>
          <w:tab w:val="clear" w:pos="720"/>
          <w:tab w:val="left" w:pos="-1440" w:leader="none"/>
        </w:tabs>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jc w:val="both"/>
        <w:rPr/>
      </w:pPr>
      <w:r>
        <w:rPr/>
      </w:r>
    </w:p>
    <w:p>
      <w:pPr>
        <w:pStyle w:val="Normal"/>
        <w:widowControl/>
        <w:tabs>
          <w:tab w:val="clear" w:pos="720"/>
          <w:tab w:val="left" w:pos="-1440" w:leader="none"/>
        </w:tabs>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(c)</w:t>
        <w:tab/>
      </w:r>
      <w:r>
        <w:rPr>
          <w:b/>
        </w:rPr>
        <w:t>Additional Definitions.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means the Agent (as defined in the Facility Agreement) or its Affiliates.  </w:t>
        <w:tab/>
        <w:t xml:space="preserve">All determinations and calculations by the Calculation Agent or its Affiliates shall be made </w:t>
        <w:tab/>
        <w:t xml:space="preserve">in good faith and in the exercise of its commercially reasonable judgment.  All such </w:t>
        <w:tab/>
        <w:t xml:space="preserve">determinations and calculations shall be binding on the parties hereto in the absence of </w:t>
        <w:tab/>
        <w:t>manifest error.</w:t>
        <w:tab/>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Cost of Carry</w:t>
      </w:r>
      <w:r>
        <w:rPr>
          <w:rFonts w:cs="WP TypographicSymbols" w:ascii="WP TypographicSymbols" w:hAnsi="WP TypographicSymbols"/>
        </w:rPr>
        <w:t>@</w:t>
      </w:r>
      <w:r>
        <w:rPr/>
        <w:t xml:space="preserve"> means, for any date, any amounts due and payable by Party B on such date </w:t>
        <w:tab/>
        <w:t xml:space="preserve">to any of the Finance Parties (as defined in the Facility Agreement) pursuant to Article XXV </w:t>
        <w:tab/>
        <w:t xml:space="preserve">(Indemnities) of the Facility Agreement, calculated in accordance with the requirements set </w:t>
        <w:tab/>
        <w:t xml:space="preserve">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shall mean that certain Revolving Credit Agreement by and among Enron Corp., Citibank, N.A. and certain other banks, dated as of August 3, 1999 as amended prior to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Increased Amounts</w:t>
      </w:r>
      <w:r>
        <w:rPr>
          <w:rFonts w:cs="WP TypographicSymbols" w:ascii="WP TypographicSymbols" w:hAnsi="WP TypographicSymbols"/>
        </w:rPr>
        <w:t>@</w:t>
      </w:r>
      <w:r>
        <w:rPr/>
        <w:t xml:space="preserve">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Transaction Costs</w:t>
      </w:r>
      <w:r>
        <w:rPr>
          <w:rFonts w:cs="WP TypographicSymbols" w:ascii="WP TypographicSymbols" w:hAnsi="WP TypographicSymbols"/>
        </w:rPr>
        <w:t>@</w:t>
      </w:r>
      <w:r>
        <w:rPr/>
        <w:t xml:space="preserve">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(iii)</w:t>
        <w:tab/>
        <w:t>Status of Parties.  The other party is not acting as a fiduciary for or an adviser to it in respect of that Transaction.</w:t>
      </w:r>
    </w:p>
    <w:p>
      <w:pPr>
        <w:pStyle w:val="Normal"/>
        <w:widowControl/>
        <w:jc w:val="both"/>
        <w:rPr/>
      </w:pPr>
      <w:r>
        <w:rPr/>
      </w:r>
    </w:p>
    <w:p>
      <w:pPr>
        <w:pStyle w:val="Normal"/>
        <w:widowControl/>
        <w:tabs>
          <w:tab w:val="clear" w:pos="720"/>
          <w:tab w:val="left" w:pos="-1440" w:leader="none"/>
        </w:tabs>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jc w:val="both"/>
        <w:rPr/>
      </w:pPr>
      <w:r>
        <w:rPr/>
      </w:r>
    </w:p>
    <w:p>
      <w:pPr>
        <w:pStyle w:val="Normal"/>
        <w:widowControl/>
        <w:tabs>
          <w:tab w:val="clear" w:pos="720"/>
          <w:tab w:val="left" w:pos="-1440" w:leader="none"/>
        </w:tabs>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u w:val="single"/>
        </w:rPr>
        <w:t>provided</w:t>
      </w:r>
      <w:r>
        <w:rPr/>
        <w:t xml:space="preserve"> that such prospective assignee agrees to be bound by the confidentiality provisions set forth in this Part 5 section (g).</w:t>
      </w:r>
    </w:p>
    <w:p>
      <w:pPr>
        <w:pStyle w:val="Normal"/>
        <w:widowControl/>
        <w:jc w:val="both"/>
        <w:rPr/>
      </w:pPr>
      <w:r>
        <w:rPr/>
      </w:r>
    </w:p>
    <w:p>
      <w:pPr>
        <w:pStyle w:val="Normal"/>
        <w:widowControl/>
        <w:tabs>
          <w:tab w:val="clear" w:pos="720"/>
          <w:tab w:val="left" w:pos="-1440" w:leader="none"/>
        </w:tabs>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jc w:val="both"/>
        <w:rPr/>
      </w:pPr>
      <w:r>
        <w:rPr/>
      </w:r>
    </w:p>
    <w:p>
      <w:pPr>
        <w:pStyle w:val="Normal"/>
        <w:widowControl/>
        <w:tabs>
          <w:tab w:val="clear" w:pos="720"/>
          <w:tab w:val="left" w:pos="-1440" w:leader="none"/>
        </w:tabs>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jc w:val="both"/>
        <w:rPr/>
      </w:pPr>
      <w:r>
        <w:rPr/>
      </w:r>
    </w:p>
    <w:p>
      <w:pPr>
        <w:pStyle w:val="Normal"/>
        <w:widowControl/>
        <w:tabs>
          <w:tab w:val="clear" w:pos="720"/>
          <w:tab w:val="left" w:pos="-1440" w:leader="none"/>
        </w:tabs>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jc w:val="both"/>
        <w:rPr/>
      </w:pPr>
      <w:r>
        <w:rPr/>
      </w:r>
    </w:p>
    <w:p>
      <w:pPr>
        <w:pStyle w:val="Normal"/>
        <w:widowControl/>
        <w:tabs>
          <w:tab w:val="clear" w:pos="720"/>
          <w:tab w:val="left" w:pos="-1440" w:leader="none"/>
        </w:tabs>
        <w:ind w:hanging="720" w:start="720" w:end="0"/>
        <w:jc w:val="both"/>
        <w:rPr/>
      </w:pPr>
      <w:r>
        <w:rPr/>
        <w:t>(l)</w:t>
        <w:tab/>
      </w:r>
      <w:r>
        <w:rPr>
          <w:b/>
        </w:rPr>
        <w:t>Credit Agreement</w:t>
      </w:r>
      <w:r>
        <w:rPr/>
        <w:t xml:space="preserve"> Party A represents and warrants to Party B that attached hereto as Exhibit A is a true and complete copy of the Credit Agreement as in effect on the date hereof.</w:t>
      </w:r>
    </w:p>
    <w:p>
      <w:pPr>
        <w:pStyle w:val="Normal"/>
        <w:widowControl/>
        <w:jc w:val="both"/>
        <w:rPr/>
      </w:pPr>
      <w:r>
        <w:rPr/>
      </w:r>
    </w:p>
    <w:p>
      <w:pPr>
        <w:pStyle w:val="Normal"/>
        <w:widowControl/>
        <w:tabs>
          <w:tab w:val="clear" w:pos="720"/>
          <w:tab w:val="left" w:pos="-1440" w:leader="none"/>
        </w:tabs>
        <w:ind w:hanging="720" w:start="720" w:end="0"/>
        <w:jc w:val="both"/>
        <w:rPr/>
      </w:pPr>
      <w:r>
        <w:rPr/>
        <w:t>(m)</w:t>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jc w:val="both"/>
        <w:rPr/>
      </w:pPr>
      <w:r>
        <w:rPr/>
      </w:r>
    </w:p>
    <w:p>
      <w:pPr>
        <w:pStyle w:val="Normal"/>
        <w:widowControl/>
        <w:jc w:val="both"/>
        <w:rPr/>
      </w:pPr>
      <w:r>
        <w:rPr/>
        <w:t>(n)</w:t>
        <w:tab/>
      </w:r>
      <w:r>
        <w:rPr>
          <w:b/>
        </w:rPr>
        <w:t>Payment of Transaction Costs, etc</w:t>
      </w:r>
      <w:r>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widowControl/>
        <w:jc w:val="both"/>
        <w:rPr/>
      </w:pPr>
      <w:r>
        <w:rPr/>
      </w:r>
    </w:p>
    <w:p>
      <w:pPr>
        <w:pStyle w:val="Normal"/>
        <w:widowControl/>
        <w:tabs>
          <w:tab w:val="clear" w:pos="720"/>
          <w:tab w:val="center" w:pos="4680" w:leader="none"/>
        </w:tabs>
        <w:jc w:val="both"/>
        <w:rPr/>
      </w:pPr>
      <w:r>
        <w:rPr/>
        <w:tab/>
      </w:r>
      <w:r>
        <w:rPr>
          <w:b/>
        </w:rPr>
        <w:t>Part 2</w:t>
      </w:r>
    </w:p>
    <w:p>
      <w:pPr>
        <w:pStyle w:val="Normal"/>
        <w:widowControl/>
        <w:tabs>
          <w:tab w:val="clear" w:pos="720"/>
          <w:tab w:val="center" w:pos="4680" w:leader="none"/>
        </w:tabs>
        <w:jc w:val="both"/>
        <w:rPr/>
      </w:pPr>
      <w:r>
        <w:rPr/>
        <w:tab/>
      </w:r>
      <w:r>
        <w:rPr>
          <w:b/>
        </w:rPr>
        <w:t>Tax Representations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Payee Representations.</w:t>
      </w:r>
      <w:r>
        <w:rPr/>
        <w:t xml:space="preserve"> For the purpose of Section 3(f), Party A and Party B make the following representations:</w:t>
      </w:r>
    </w:p>
    <w:p>
      <w:pPr>
        <w:pStyle w:val="Normal"/>
        <w:widowControl/>
        <w:jc w:val="both"/>
        <w:rPr/>
      </w:pPr>
      <w:r>
        <w:rPr/>
      </w:r>
    </w:p>
    <w:p>
      <w:pPr>
        <w:pStyle w:val="Normal"/>
        <w:widowControl/>
        <w:tabs>
          <w:tab w:val="clear" w:pos="720"/>
          <w:tab w:val="left" w:pos="-1440" w:leader="none"/>
        </w:tabs>
        <w:ind w:hanging="720" w:start="1440" w:end="0"/>
        <w:jc w:val="both"/>
        <w:rPr/>
      </w:pPr>
      <w:r>
        <w:rPr/>
        <w:t>(i)</w:t>
        <w:tab/>
        <w:t>The following representation applies to Party A:</w:t>
      </w:r>
    </w:p>
    <w:p>
      <w:pPr>
        <w:pStyle w:val="Normal"/>
        <w:widowControl/>
        <w:ind w:start="1440" w:end="0"/>
        <w:jc w:val="both"/>
        <w:rPr/>
      </w:pPr>
      <w:r>
        <w:rPr/>
        <w:t>Party A is a corporation organized under the laws of the State of Oregon.</w:t>
      </w:r>
    </w:p>
    <w:p>
      <w:pPr>
        <w:pStyle w:val="Normal"/>
        <w:widowControl/>
        <w:jc w:val="both"/>
        <w:rPr/>
      </w:pPr>
      <w:r>
        <w:rPr/>
      </w:r>
    </w:p>
    <w:p>
      <w:pPr>
        <w:pStyle w:val="Normal"/>
        <w:widowControl/>
        <w:tabs>
          <w:tab w:val="clear" w:pos="720"/>
          <w:tab w:val="left" w:pos="-1440" w:leader="none"/>
        </w:tabs>
        <w:ind w:hanging="720" w:start="1440" w:end="0"/>
        <w:jc w:val="both"/>
        <w:rPr/>
      </w:pPr>
      <w:r>
        <w:rPr/>
        <w:t>(ii)</w:t>
        <w:tab/>
        <w:t>The following representation applies to Party B:</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ind w:start="1440" w:end="0"/>
        <w:jc w:val="both"/>
        <w:rPr/>
      </w:pPr>
      <w:r>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jc w:val="both"/>
        <w:rPr/>
      </w:pPr>
      <w:r>
        <w:rPr/>
      </w:r>
    </w:p>
    <w:p>
      <w:pPr>
        <w:pStyle w:val="Normal"/>
        <w:widowControl/>
        <w:tabs>
          <w:tab w:val="clear" w:pos="720"/>
          <w:tab w:val="center" w:pos="4680" w:leader="none"/>
        </w:tabs>
        <w:jc w:val="both"/>
        <w:rPr>
          <w:b/>
        </w:rPr>
      </w:pPr>
      <w:r>
        <w:rPr>
          <w:b/>
        </w:rPr>
        <w:tab/>
        <w:t xml:space="preserve">Part 3 </w:t>
      </w:r>
    </w:p>
    <w:p>
      <w:pPr>
        <w:pStyle w:val="Normal"/>
        <w:widowControl/>
        <w:tabs>
          <w:tab w:val="clear" w:pos="720"/>
          <w:tab w:val="center" w:pos="4680" w:leader="none"/>
        </w:tabs>
        <w:jc w:val="both"/>
        <w:rPr>
          <w:b/>
        </w:rPr>
      </w:pPr>
      <w:r>
        <w:rPr>
          <w:b/>
        </w:rPr>
        <w:tab/>
        <w:t>Agreement to Deliver Documents</w:t>
      </w:r>
    </w:p>
    <w:p>
      <w:pPr>
        <w:pStyle w:val="Normal"/>
        <w:widowControl/>
        <w:jc w:val="both"/>
        <w:rPr/>
      </w:pPr>
      <w:r>
        <w:rPr/>
      </w:r>
    </w:p>
    <w:p>
      <w:pPr>
        <w:pStyle w:val="Normal"/>
        <w:widowControl/>
        <w:tabs>
          <w:tab w:val="clear" w:pos="720"/>
          <w:tab w:val="left" w:pos="-1440" w:leader="none"/>
        </w:tabs>
        <w:ind w:hanging="720" w:start="720" w:end="0"/>
        <w:jc w:val="both"/>
        <w:rPr/>
      </w:pPr>
      <w:r>
        <w:rPr/>
        <w:t>(a)</w:t>
        <w:tab/>
        <w:t>For the purpose of Section 4(a), the Tax forms, documents, or certificates to be delivered are:</w:t>
      </w:r>
    </w:p>
    <w:p>
      <w:pPr>
        <w:pStyle w:val="Normal"/>
        <w:widowControl/>
        <w:ind w:firstLine="720" w:end="0"/>
        <w:jc w:val="both"/>
        <w:rPr/>
      </w:pPr>
      <w:r>
        <w:rPr/>
        <w:t>IRS Form 1001 or the successors thereto.</w:t>
      </w:r>
    </w:p>
    <w:p>
      <w:pPr>
        <w:pStyle w:val="Normal"/>
        <w:widowControl/>
        <w:jc w:val="both"/>
        <w:rPr/>
      </w:pPr>
      <w:r>
        <w:rPr/>
      </w:r>
    </w:p>
    <w:p>
      <w:pPr>
        <w:pStyle w:val="Normal"/>
        <w:widowControl/>
        <w:tabs>
          <w:tab w:val="clear" w:pos="720"/>
          <w:tab w:val="left" w:pos="-1440" w:leader="none"/>
        </w:tabs>
        <w:ind w:hanging="720" w:start="720" w:end="0"/>
        <w:jc w:val="both"/>
        <w:rPr/>
      </w:pPr>
      <w:r>
        <w:rPr/>
        <w:t>(b)</w:t>
        <w:tab/>
        <w:t>Other documents to be delivered are:</w:t>
      </w:r>
    </w:p>
    <w:p>
      <w:pPr>
        <w:pStyle w:val="Normal"/>
        <w:widowControl/>
        <w:jc w:val="both"/>
        <w:rPr/>
      </w:pPr>
      <w:r>
        <w:rPr/>
      </w:r>
    </w:p>
    <w:tbl>
      <w:tblPr>
        <w:tblW w:w="8640" w:type="dxa"/>
        <w:jc w:val="start"/>
        <w:tblInd w:w="86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rPr>
                <w:b/>
              </w:rPr>
            </w:pPr>
            <w:r>
              <w:rPr>
                <w:b/>
              </w:rPr>
              <w:t>Party required</w:t>
            </w:r>
          </w:p>
          <w:p>
            <w:pPr>
              <w:pStyle w:val="Normal"/>
              <w:widowControl/>
              <w:rPr>
                <w:b/>
              </w:rPr>
            </w:pPr>
            <w:r>
              <w:rPr>
                <w:b/>
              </w:rPr>
              <w:t>to deliver</w:t>
            </w:r>
          </w:p>
          <w:p>
            <w:pPr>
              <w:pStyle w:val="Normal"/>
              <w:widowControl/>
              <w:spacing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before="0" w:after="58"/>
              <w:jc w:val="both"/>
              <w:rPr/>
            </w:pPr>
            <w:r>
              <w:rPr/>
              <w:t>Party A</w:t>
            </w:r>
          </w:p>
        </w:tc>
        <w:tc>
          <w:tcPr>
            <w:tcW w:w="2970" w:type="dxa"/>
            <w:tcBorders/>
          </w:tcPr>
          <w:p>
            <w:pPr>
              <w:pStyle w:val="Normal"/>
              <w:snapToGrid w:val="false"/>
              <w:spacing w:lineRule="exact" w:line="120"/>
              <w:rPr/>
            </w:pPr>
            <w:r>
              <w:rPr/>
            </w:r>
          </w:p>
          <w:p>
            <w:pPr>
              <w:pStyle w:val="Normal"/>
              <w:widowControl/>
              <w:spacing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rPr/>
            </w:pPr>
            <w:r>
              <w:rPr/>
              <w:t>Evidence of authority of signatories substantially in the form attached as</w:t>
            </w:r>
          </w:p>
          <w:p>
            <w:pPr>
              <w:pStyle w:val="Normal"/>
              <w:widowControl/>
              <w:spacing w:before="0" w:after="58"/>
              <w:rPr/>
            </w:pPr>
            <w:r>
              <w:rPr/>
              <w:t>Exhibit C</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pStyle w:val="Normal"/>
        <w:widowControl/>
        <w:spacing w:lineRule="auto" w:line="360"/>
        <w:ind w:firstLine="720" w:end="0"/>
        <w:jc w:val="both"/>
        <w:rPr/>
      </w:pPr>
      <w:r>
        <w:rPr/>
        <w:t>Address</w:t>
        <w:tab/>
        <w:tab/>
        <w:t>:</w:t>
        <w:tab/>
        <w:t>Enron Corp.</w:t>
      </w:r>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pPr>
      <w:r>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widowControl/>
        <w:spacing w:lineRule="auto" w:line="360"/>
        <w:jc w:val="both"/>
        <w:rPr/>
      </w:pPr>
      <w:r>
        <w:rPr/>
      </w: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t>Hawaii II 125</w:t>
        <w:noBreakHyphen/>
        <w:t>0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Not Applicable</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(g)</w:t>
        <w:tab/>
      </w:r>
      <w:r>
        <w:rPr>
          <w:b/>
        </w:rPr>
        <w:t>Credit Support Provider.</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w:t>
      </w:r>
      <w:ins w:id="0" w:author="Unknown Author" w:date="0-00-00T00:00:00Z">
        <w:r>
          <w:rPr>
            <w:strike/>
          </w:rPr>
          <w:t>(without reference to choice of law doctrine other than Section 5</w:t>
          <w:noBreakHyphen/>
          <w:t>1401 of the New York General Obligations Law)</w:t>
        </w:r>
      </w:ins>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Jurisdiction.</w:t>
      </w:r>
      <w:r>
        <w:rPr/>
        <w:t xml:space="preserve">  The provisions of Section 13(b) are deleted in their entirety and replaced by the following:  </w:t>
      </w:r>
      <w:r>
        <w:rPr>
          <w:rFonts w:cs="WP TypographicSymbols" w:ascii="WP TypographicSymbols" w:hAnsi="WP TypographicSymbols"/>
        </w:rPr>
        <w:t>A</w:t>
      </w:r>
      <w:r>
        <w:rPr/>
        <w:t>With respect to any suit, action, claim or proceeding relating to this Agreement (</w:t>
      </w:r>
      <w:r>
        <w:rPr>
          <w:rFonts w:cs="WP TypographicSymbols" w:ascii="WP TypographicSymbols" w:hAnsi="WP TypographicSymbols"/>
        </w:rPr>
        <w:t>@</w:t>
      </w:r>
      <w:r>
        <w:rPr/>
        <w:t>Proceedings</w:t>
      </w:r>
      <w:r>
        <w:rPr>
          <w:rFonts w:cs="WP TypographicSymbols" w:ascii="WP TypographicSymbols" w:hAnsi="WP TypographicSymbols"/>
        </w:rPr>
        <w:t>A</w:t>
      </w:r>
      <w:r>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tabs>
          <w:tab w:val="clear" w:pos="720"/>
          <w:tab w:val="left" w:pos="-1440" w:leader="none"/>
        </w:tabs>
        <w:spacing w:lineRule="auto" w:line="360"/>
        <w:ind w:hanging="720" w:start="720" w:end="0"/>
        <w:jc w:val="both"/>
        <w:rPr/>
      </w:pPr>
      <w:r>
        <w:rPr/>
        <w:t>(l)</w:t>
        <w:tab/>
        <w:t>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spacing w:lineRule="auto" w:line="360"/>
        <w:jc w:val="both"/>
        <w:rPr/>
      </w:pPr>
      <w:r>
        <w:rPr/>
        <w:t xml:space="preserve">(a) </w:t>
        <w:tab/>
      </w:r>
      <w:r>
        <w:rPr>
          <w:rFonts w:cs="WP TypographicSymbols" w:ascii="WP TypographicSymbols" w:hAnsi="WP TypographicSymbols"/>
          <w:b/>
        </w:rPr>
        <w:t>A</w:t>
      </w:r>
      <w:r>
        <w:rPr>
          <w:b/>
        </w:rPr>
        <w:t>Specified Entity</w:t>
      </w:r>
      <w:r>
        <w:rPr>
          <w:rFonts w:cs="WP TypographicSymbols" w:ascii="WP TypographicSymbols" w:hAnsi="WP TypographicSymbols"/>
          <w:b/>
        </w:rPr>
        <w:t>@</w:t>
      </w:r>
      <w:r>
        <w:rPr/>
        <w:t xml:space="preserve"> means in relation to Party A for the purpose of:</w:t>
      </w:r>
    </w:p>
    <w:p>
      <w:pPr>
        <w:pStyle w:val="Normal"/>
        <w:widowControl/>
        <w:spacing w:lineRule="auto" w:line="360"/>
        <w:ind w:firstLine="720" w:end="0"/>
        <w:jc w:val="both"/>
        <w:rPr/>
      </w:pPr>
      <w:r>
        <w:rPr/>
        <w:t>Section 5(a)(v) (Default under Specified Transaction)</w:t>
        <w:tab/>
        <w:t>:</w:t>
        <w:tab/>
        <w:t>Not applicable</w:t>
      </w:r>
    </w:p>
    <w:p>
      <w:pPr>
        <w:pStyle w:val="Normal"/>
        <w:widowControl/>
        <w:tabs>
          <w:tab w:val="clear" w:pos="720"/>
          <w:tab w:val="left" w:pos="-1440" w:leader="none"/>
        </w:tabs>
        <w:ind w:hanging="6480" w:start="7200" w:end="0"/>
        <w:jc w:val="both"/>
        <w:rPr/>
      </w:pPr>
      <w:r>
        <w:rPr/>
        <w:t>Section 5(a)(vi) (Cross Default)</w:t>
        <w:tab/>
        <w:tab/>
        <w:tab/>
        <w:tab/>
        <w:t>:</w:t>
        <w:tab/>
        <w:t>Not Applicable</w:t>
      </w:r>
    </w:p>
    <w:p>
      <w:pPr>
        <w:pStyle w:val="Normal"/>
        <w:widowControl/>
        <w:jc w:val="both"/>
        <w:rPr/>
      </w:pPr>
      <w:r>
        <w:rPr/>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jc w:val="both"/>
        <w:rPr/>
      </w:pPr>
      <w:r>
        <w:rPr/>
      </w:r>
    </w:p>
    <w:p>
      <w:pPr>
        <w:pStyle w:val="Normal"/>
        <w:widowControl/>
        <w:spacing w:lineRule="auto" w:line="360"/>
        <w:ind w:firstLine="720" w:end="0"/>
        <w:jc w:val="both"/>
        <w:rPr/>
      </w:pPr>
      <w:r>
        <w:rPr/>
        <w:t>and in relation to Party B for the purpose of</w:t>
        <w:tab/>
        <w:tab/>
        <w:tab/>
        <w:t>:</w:t>
      </w:r>
    </w:p>
    <w:p>
      <w:pPr>
        <w:pStyle w:val="Normal"/>
        <w:widowControl/>
        <w:spacing w:lineRule="auto" w:line="360"/>
        <w:jc w:val="both"/>
        <w:rPr/>
      </w:pPr>
      <w:r>
        <w:rPr/>
      </w:r>
    </w:p>
    <w:p>
      <w:pPr>
        <w:pStyle w:val="Normal"/>
        <w:widowControl/>
        <w:spacing w:lineRule="auto" w:line="360"/>
        <w:ind w:firstLine="720" w:end="0"/>
        <w:jc w:val="both"/>
        <w:rPr/>
      </w:pPr>
      <w:r>
        <w:rPr/>
        <w:t xml:space="preserve">Section 5(a)(v) (Default under Specified Transaction) </w:t>
        <w:tab/>
        <w:t>:</w:t>
        <w:tab/>
        <w:t>Not Applicable</w:t>
      </w:r>
    </w:p>
    <w:p>
      <w:pPr>
        <w:pStyle w:val="Normal"/>
        <w:widowControl/>
        <w:spacing w:lineRule="auto" w:line="360"/>
        <w:ind w:firstLine="720" w:end="0"/>
        <w:jc w:val="both"/>
        <w:rPr/>
      </w:pPr>
      <w:r>
        <w:rPr/>
        <w:t xml:space="preserve">Section 5(a)(vi) (Cross Default) </w:t>
        <w:tab/>
        <w:tab/>
        <w:tab/>
        <w:tab/>
        <w:t>:</w:t>
        <w:tab/>
        <w:t>Not Applicable</w:t>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ind w:firstLine="720" w:end="0"/>
        <w:jc w:val="both"/>
        <w:rPr/>
      </w:pPr>
      <w:r>
        <w:rPr/>
        <w:t xml:space="preserve">Section 5(b)(iv) (Credit Event Upon Merger) </w:t>
        <w:tab/>
        <w:tab/>
        <w:t>:</w:t>
        <w:tab/>
        <w:t>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apply to Party A in the case of Party A.  The </w:t>
      </w:r>
      <w:r>
        <w:rPr>
          <w:rFonts w:cs="WP TypographicSymbols" w:ascii="WP TypographicSymbols" w:hAnsi="WP TypographicSymbols"/>
        </w:rPr>
        <w:t>A</w:t>
      </w:r>
      <w:r>
        <w:rPr/>
        <w:t>Automatic Early Termination</w:t>
      </w:r>
      <w:r>
        <w:rPr>
          <w:rFonts w:cs="WP TypographicSymbols" w:ascii="WP TypographicSymbols" w:hAnsi="WP TypographicSymbols"/>
        </w:rPr>
        <w:t>@</w:t>
      </w:r>
      <w:r>
        <w:rPr/>
        <w:t xml:space="preserve"> provision of Section 6(a) will not apply to Party B.</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1440" w:end="0"/>
        <w:jc w:val="both"/>
        <w:rPr/>
      </w:pPr>
      <w:r>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Second Method (Full Two</w:t>
        <w:noBreakHyphen/>
        <w:t xml:space="preserve">Way Payments) will apply.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will apply.  The following shall constitute an Additional Termination Event:</w:t>
      </w:r>
    </w:p>
    <w:p>
      <w:pPr>
        <w:pStyle w:val="Normal"/>
        <w:widowControl/>
        <w:spacing w:lineRule="auto" w:line="360"/>
        <w:ind w:firstLine="720" w:start="1440" w:end="720"/>
        <w:jc w:val="both"/>
        <w:rPr/>
      </w:pPr>
      <w:r>
        <w:rPr/>
        <w:t xml:space="preserve">(a) Any material breach (which, in the case of a breach capable of remedy,  remains unremedied 30 days after written notice of such breach is given to Party A by Party B) by Party A of: </w:t>
      </w:r>
    </w:p>
    <w:p>
      <w:pPr>
        <w:pStyle w:val="Normal"/>
        <w:widowControl/>
        <w:spacing w:lineRule="auto" w:line="360"/>
        <w:ind w:firstLine="2880" w:end="0"/>
        <w:jc w:val="both"/>
        <w:rPr/>
      </w:pPr>
      <w:r>
        <w:rPr/>
        <w:t xml:space="preserve">(i) any of the covenants or </w:t>
      </w:r>
    </w:p>
    <w:p>
      <w:pPr>
        <w:pStyle w:val="Normal"/>
        <w:widowControl/>
        <w:spacing w:lineRule="auto" w:line="360"/>
        <w:ind w:firstLine="720" w:start="2160" w:end="2160"/>
        <w:jc w:val="both"/>
        <w:rPr/>
      </w:pPr>
      <w:r>
        <w:rPr/>
        <w:t>(ii) any of the representations or warranties set out or incorporated by reference in Part 1 (b) of this Schedule (except for the covenant incorporated by reference in Section (b)(2)(B) of Part 1 of this Schedule); or</w:t>
      </w:r>
    </w:p>
    <w:p>
      <w:pPr>
        <w:pStyle w:val="Normal"/>
        <w:widowControl/>
        <w:spacing w:lineRule="auto" w:line="360"/>
        <w:ind w:firstLine="720" w:start="1440" w:end="720"/>
        <w:jc w:val="both"/>
        <w:rPr/>
      </w:pPr>
      <w:r>
        <w:rPr/>
        <w:t>(b)</w:t>
        <w:tab/>
        <w:t xml:space="preserve">the occurrence with respect to Party A of any of the events specified in Sections 6.01(d) (and for the avoidance of doubt </w:t>
      </w:r>
      <w:r>
        <w:rPr>
          <w:rFonts w:cs="WP TypographicSymbols" w:ascii="WP TypographicSymbols" w:hAnsi="WP TypographicSymbols"/>
        </w:rPr>
        <w:t>A</w:t>
      </w:r>
      <w:r>
        <w:rPr/>
        <w:t>Debt</w:t>
      </w:r>
      <w:r>
        <w:rPr>
          <w:rFonts w:cs="WP TypographicSymbols" w:ascii="WP TypographicSymbols" w:hAnsi="WP TypographicSymbols"/>
        </w:rPr>
        <w:t>@</w:t>
      </w:r>
      <w:r>
        <w:rPr/>
        <w:t xml:space="preserve"> as used therein shall include Debt under the Credit Agreement) or 6.01(e) of the Credit Agreement (provided that the period specified in Section 6.01(e) shall for the purposes hereof be 30 days).  If the Credit Agreement should for any reason terminate or if Party B does not consent which consent may be given only with the approval of the Majority Lenders) to any amendment of the Credit Agreement affecting Sections 6.01 (d) or 6.01 (e), such provisions for the purposes of this paragraph (j) shall be deemed to be as they existed immediately prior to such event; or</w:t>
      </w:r>
    </w:p>
    <w:p>
      <w:pPr>
        <w:pStyle w:val="Normal"/>
        <w:widowControl/>
        <w:spacing w:lineRule="auto" w:line="360"/>
        <w:ind w:firstLine="720" w:start="1440" w:end="720"/>
        <w:jc w:val="both"/>
        <w:rPr/>
      </w:pPr>
      <w:r>
        <w:rPr/>
        <w:t>(c)</w:t>
        <w:tab/>
        <w:t xml:space="preserve">any breach of the covenant incorporated by reference in Section (b)(2)(B) of Part 1 of this Schedule; or </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start="1440" w:end="720"/>
        <w:jc w:val="both"/>
        <w:rPr/>
      </w:pPr>
      <w:r>
        <w:rPr/>
        <w:t>(d)</w:t>
        <w:tab/>
        <w:t>any sum outstanding under the Facility Agreement is declared or becomes due and payable under Section 13.2(b) thereof following the occurrence of an Event of Default thereunder.</w:t>
      </w:r>
    </w:p>
    <w:p>
      <w:pPr>
        <w:pStyle w:val="Normal"/>
        <w:widowControl/>
        <w:spacing w:lineRule="auto" w:line="360"/>
        <w:jc w:val="both"/>
        <w:rPr/>
      </w:pPr>
      <w:r>
        <w:rPr/>
      </w:r>
    </w:p>
    <w:p>
      <w:pPr>
        <w:pStyle w:val="Normal"/>
        <w:widowControl/>
        <w:spacing w:lineRule="auto" w:line="360"/>
        <w:ind w:start="720" w:end="0"/>
        <w:jc w:val="both"/>
        <w:rPr/>
      </w:pPr>
      <w:r>
        <w:rPr/>
        <w:t>For the purpose of the foregoing Termination Event, the Affected Party shall be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 xml:space="preserve">Amendment of Credit Event Upon Merger.  </w:t>
      </w:r>
      <w:r>
        <w:rPr/>
        <w:t xml:space="preserve">Section 5(b)(iv) is hereby amended by adding the following phrase between the closing parenthesis and the semicolon at the end thereof: </w:t>
      </w:r>
      <w:r>
        <w:rPr>
          <w:rFonts w:cs="WP TypographicSymbols" w:ascii="WP TypographicSymbols" w:hAnsi="WP TypographicSymbols"/>
        </w:rPr>
        <w:t>A</w:t>
      </w:r>
      <w:r>
        <w:rPr>
          <w:u w:val="single"/>
        </w:rPr>
        <w:t>provided</w:t>
      </w:r>
      <w:r>
        <w:rPr/>
        <w:t xml:space="preserve">, </w:t>
      </w:r>
      <w:r>
        <w:rPr>
          <w:u w:val="single"/>
        </w:rPr>
        <w:t>however</w:t>
      </w:r>
      <w:r>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u w:val="single"/>
        </w:rPr>
        <w:t>provided</w:t>
      </w:r>
      <w:r>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shall be as the same existed immediately prior to such termination or amendment) or event which, with the giving of notice or the lapse of time, or both, would constitute such an Event of Default, would exist or result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t>The provisions of Section 5(a)(iv), (v), (vi) and (vii) will not apply to Party A.</w:t>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[Remainder of page intentionally blank]</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b/>
        </w:rPr>
      </w:pPr>
      <w:r>
        <w:rPr>
          <w:b/>
        </w:rPr>
        <w:t>HAWAII II 125</w:t>
        <w:noBreakHyphen/>
        <w:t>0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w:t>
      </w:r>
    </w:p>
    <w:p>
      <w:pPr>
        <w:pStyle w:val="Normal"/>
        <w:widowControl/>
        <w:ind w:firstLine="720" w:end="0"/>
        <w:jc w:val="both"/>
        <w:rPr/>
      </w:pPr>
      <w:r>
        <w:rPr/>
        <w:t>not in its individual capacity</w:t>
      </w:r>
    </w:p>
    <w:p>
      <w:pPr>
        <w:pStyle w:val="Normal"/>
        <w:widowControl/>
        <w:ind w:firstLine="720" w:end="0"/>
        <w:jc w:val="both"/>
        <w:rPr/>
      </w:pPr>
      <w:r>
        <w:rPr/>
        <w:t>but solely as Owner Trustee</w:t>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firstLine="720" w:end="0"/>
        <w:jc w:val="both"/>
        <w:rPr/>
      </w:pPr>
      <w:r>
        <w:rPr/>
        <w:t>Name:</w:t>
      </w:r>
      <w:r>
        <w:rPr>
          <w:u w:val="single"/>
        </w:rPr>
        <w:tab/>
        <w:tab/>
        <w:tab/>
        <w:tab/>
        <w:tab/>
        <w:tab/>
      </w:r>
      <w:r>
        <w:rPr/>
        <w:tab/>
      </w:r>
    </w:p>
    <w:p>
      <w:pPr>
        <w:pStyle w:val="Normal"/>
        <w:widowControl/>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ENRON CORP.</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pPr>
      <w:r>
        <w:rPr/>
        <w:t>By:</w:t>
      </w:r>
      <w:r>
        <w:rPr>
          <w:u w:val="single"/>
        </w:rPr>
        <w:tab/>
        <w:tab/>
        <w:tab/>
        <w:tab/>
        <w:tab/>
        <w:tab/>
      </w:r>
    </w:p>
    <w:p>
      <w:pPr>
        <w:pStyle w:val="Normal"/>
        <w:widowControl/>
        <w:jc w:val="both"/>
        <w:rPr/>
      </w:pPr>
      <w:r>
        <w:rPr/>
        <w:t>Name:</w:t>
      </w:r>
      <w:r>
        <w:rPr>
          <w:u w:val="single"/>
        </w:rPr>
        <w:tab/>
        <w:tab/>
        <w:tab/>
        <w:tab/>
        <w:tab/>
        <w:tab/>
      </w:r>
    </w:p>
    <w:p>
      <w:pPr>
        <w:pStyle w:val="Normal"/>
        <w:widowControl/>
        <w:jc w:val="both"/>
        <w:rPr/>
      </w:pPr>
      <w:r>
        <w:rPr/>
        <w:t>Title:</w:t>
      </w:r>
      <w:r>
        <w:rPr>
          <w:u w:val="single"/>
        </w:rPr>
        <w:tab/>
        <w:tab/>
        <w:tab/>
        <w:tab/>
        <w:tab/>
        <w:tab/>
      </w:r>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center"/>
        <w:rPr/>
      </w:pPr>
      <w:r>
        <w:rPr/>
        <w:t>EXHIBIT A</w:t>
      </w:r>
    </w:p>
    <w:p>
      <w:pPr>
        <w:pStyle w:val="Normal"/>
        <w:widowControl/>
        <w:jc w:val="both"/>
        <w:rPr/>
      </w:pPr>
      <w:r>
        <w:rPr/>
      </w:r>
    </w:p>
    <w:p>
      <w:pPr>
        <w:sectPr>
          <w:footerReference w:type="default" r:id="rId6"/>
          <w:footerReference w:type="first" r:id="rId7"/>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s>
        <w:jc w:val="both"/>
        <w:rPr/>
      </w:pPr>
      <w:r>
        <w:rPr/>
        <w:tab/>
        <w:t>[FORM OF OPINION]</w:t>
      </w:r>
    </w:p>
    <w:p>
      <w:pPr>
        <w:pStyle w:val="Normal"/>
        <w:widowControl/>
        <w:tabs>
          <w:tab w:val="clear" w:pos="720"/>
          <w:tab w:val="center" w:pos="4680" w:leader="none"/>
        </w:tabs>
        <w:spacing w:lineRule="auto" w:line="360"/>
        <w:jc w:val="both"/>
        <w:rPr/>
      </w:pPr>
      <w:r>
        <w:rPr/>
        <w:tab/>
      </w:r>
      <w:r>
        <w:rPr>
          <w:b/>
        </w:rPr>
        <w:t>INCUMBENCY AND SIGNATURE CERTIFICATE</w:t>
      </w:r>
    </w:p>
    <w:p>
      <w:pPr>
        <w:pStyle w:val="Normal"/>
        <w:widowControl/>
        <w:spacing w:lineRule="auto" w:line="360"/>
        <w:jc w:val="both"/>
        <w:rPr/>
      </w:pPr>
      <w:r>
        <w:rPr/>
      </w:r>
    </w:p>
    <w:p>
      <w:pPr>
        <w:pStyle w:val="Normal"/>
        <w:widowControl/>
        <w:spacing w:lineRule="auto" w:line="360"/>
        <w:ind w:firstLine="720" w:end="0"/>
        <w:jc w:val="both"/>
        <w:rPr/>
      </w:pPr>
      <w:r>
        <w:rPr/>
        <w:t xml:space="preserve">The undersigned, the Assistant Secretary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an Oregon corporation organized under the law of Oregon hereby certifies that:</w:t>
      </w:r>
    </w:p>
    <w:p>
      <w:pPr>
        <w:pStyle w:val="Normal"/>
        <w:widowControl/>
        <w:spacing w:lineRule="auto" w:line="360"/>
        <w:jc w:val="both"/>
        <w:rPr/>
      </w:pPr>
      <w:r>
        <w:rPr/>
      </w:r>
    </w:p>
    <w:p>
      <w:pPr>
        <w:pStyle w:val="Normal"/>
        <w:widowControl/>
        <w:spacing w:lineRule="auto" w:line="360"/>
        <w:ind w:firstLine="720" w:end="0"/>
        <w:jc w:val="both"/>
        <w:rPr/>
      </w:pPr>
      <w:r>
        <w:rPr/>
        <w:t>1.</w:t>
        <w:tab/>
        <w:t xml:space="preserve">The ISDA Master Agreement dated as of November 15, 2000, including the Schedule, Confirmations,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between Hawaii II 125</w:t>
        <w:noBreakHyphen/>
        <w:t>0 Trust and the Counterparty has been duly executed and delivered for, in the name of, and on behalf of the Counterparty by the following officer, whose title and signature appear below:</w:t>
      </w:r>
    </w:p>
    <w:p>
      <w:pPr>
        <w:pStyle w:val="Normal"/>
        <w:widowControl/>
        <w:spacing w:lineRule="auto" w:line="360"/>
        <w:ind w:firstLine="72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spacing w:lineRule="auto" w:line="360"/>
        <w:ind w:firstLine="6480" w:end="0"/>
        <w:jc w:val="both"/>
        <w:rPr>
          <w:u w:val="single"/>
        </w:rPr>
      </w:pPr>
      <w:r>
        <w:rPr>
          <w:u w:val="single"/>
        </w:rPr>
        <w:tab/>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ind w:firstLine="72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8"/>
          <w:footerReference w:type="first" r:id="rId9"/>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spacing w:lineRule="auto" w:line="360"/>
        <w:jc w:val="both"/>
        <w:rPr/>
      </w:pPr>
      <w:r>
        <w:rPr/>
      </w:r>
    </w:p>
    <w:p>
      <w:pPr>
        <w:pStyle w:val="Normal"/>
        <w:widowControl/>
        <w:spacing w:lineRule="auto" w:line="360"/>
        <w:ind w:firstLine="720" w:end="0"/>
        <w:jc w:val="both"/>
        <w:rPr/>
      </w:pPr>
      <w:r>
        <w:rPr>
          <w:b/>
        </w:rPr>
        <w:t>IN WITNESS WHEREOF,</w:t>
      </w:r>
      <w:r>
        <w:rPr/>
        <w:t xml:space="preserve"> the undersigned has executed this certificate the 15</w:t>
      </w:r>
      <w:r>
        <w:rPr>
          <w:vertAlign w:val="superscript"/>
        </w:rPr>
        <w:t>th</w:t>
      </w:r>
      <w:r>
        <w:rPr/>
        <w:t xml:space="preserve"> day of November, 2000.</w:t>
      </w:r>
    </w:p>
    <w:p>
      <w:pPr>
        <w:pStyle w:val="Normal"/>
        <w:widowControl/>
        <w:spacing w:lineRule="auto" w:line="360"/>
        <w:jc w:val="both"/>
        <w:rPr/>
      </w:pPr>
      <w:r>
        <w:rPr/>
      </w:r>
    </w:p>
    <w:p>
      <w:pPr>
        <w:pStyle w:val="Normal"/>
        <w:widowControl/>
        <w:ind w:firstLine="5040" w:end="0"/>
        <w:jc w:val="both"/>
        <w:rPr>
          <w:b/>
        </w:rPr>
      </w:pPr>
      <w:r>
        <w:rPr>
          <w:b/>
        </w:rPr>
        <w:t>ENRON CORP.</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ind w:firstLine="5040" w:end="0"/>
        <w:jc w:val="both"/>
        <w:rPr/>
      </w:pPr>
      <w:r>
        <w:rPr/>
        <w:t>Title: Assistant Secretary</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I, </w:t>
      </w:r>
      <w:r>
        <w:rPr>
          <w:u w:val="single"/>
        </w:rPr>
        <w:tab/>
        <w:tab/>
        <w:tab/>
        <w:tab/>
      </w:r>
      <w:r>
        <w:rPr/>
        <w:t xml:space="preserve">, a </w:t>
      </w:r>
      <w:r>
        <w:rPr>
          <w:u w:val="single"/>
        </w:rPr>
        <w:tab/>
        <w:tab/>
        <w:tab/>
        <w:tab/>
      </w:r>
      <w:r>
        <w:rPr/>
        <w:t xml:space="preserve">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an Oregon corporation organized under the law of Oregon, hereby certify that </w:t>
      </w:r>
      <w:r>
        <w:rPr>
          <w:u w:val="single"/>
        </w:rPr>
        <w:tab/>
        <w:tab/>
        <w:tab/>
        <w:tab/>
      </w:r>
      <w:r>
        <w:rPr/>
        <w:t xml:space="preserve"> is a duly elected, qualified, and acting Assistant Secretary of the Counterparty and that the signature appearing above is his/her genuine signature.</w:t>
      </w:r>
    </w:p>
    <w:p>
      <w:pPr>
        <w:pStyle w:val="Normal"/>
        <w:widowControl/>
        <w:jc w:val="both"/>
        <w:rPr/>
      </w:pPr>
      <w:r>
        <w:rPr/>
      </w:r>
    </w:p>
    <w:p>
      <w:pPr>
        <w:pStyle w:val="Normal"/>
        <w:widowControl/>
        <w:ind w:firstLine="720" w:end="0"/>
        <w:jc w:val="both"/>
        <w:rPr/>
      </w:pPr>
      <w:r>
        <w:rPr>
          <w:b/>
        </w:rPr>
        <w:t>IN WITNESS WHEREOF,</w:t>
      </w:r>
      <w:r>
        <w:rPr/>
        <w:t xml:space="preserve"> I have hereunto signed my name the ____ day of November, 2000.</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 xml:space="preserve">Name: </w:t>
      </w:r>
      <w:r>
        <w:rPr>
          <w:u w:val="single"/>
        </w:rPr>
        <w:tab/>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 xml:space="preserve">Title: </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 w:author="Unknown Author" w:date="0-00-00T00:00:00Z">
        <w:r>
          <w:rPr>
            <w:strike/>
          </w:rPr>
          <w:t>265279.1</w:t>
        </w:r>
      </w:ins>
      <w:r>
        <w:rPr/>
        <w:t xml:space="preserve"> </w:t>
      </w:r>
      <w:ins w:id="2" w:author="Unknown Author" w:date="0-00-00T00:00:00Z">
        <w:r>
          <w:rPr>
            <w:b/>
            <w:u w:val="double"/>
          </w:rPr>
          <w:t>265279.2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II/Swap Schedule </w:t>
        <w:noBreakHyphen/>
        <w:t xml:space="preserve"> Signature Page</w:t>
      </w:r>
    </w:p>
    <w:p>
      <w:pPr>
        <w:pStyle w:val="Normal"/>
        <w:widowControl/>
        <w:jc w:val="both"/>
        <w:rPr/>
      </w:pPr>
      <w:r>
        <w:rPr/>
      </w:r>
    </w:p>
    <w:p>
      <w:pPr>
        <w:pStyle w:val="Normal"/>
        <w:widowControl/>
        <w:jc w:val="both"/>
        <w:rPr/>
      </w:pPr>
      <w:r>
        <w:rPr/>
        <w:noBreakHyphen/>
      </w:r>
      <w:r>
        <w:rPr/>
        <w:t>FOOTER 3</w:t>
        <w:noBreakHyphen/>
      </w:r>
    </w:p>
    <w:p>
      <w:pPr>
        <w:pStyle w:val="Normal"/>
        <w:widowControl/>
        <w:jc w:val="both"/>
        <w:rPr/>
      </w:pPr>
      <w:r>
        <w:rPr/>
        <w:t xml:space="preserve">Project Hawaii II/Exhibit C to Swap Schedule </w:t>
        <w:noBreakHyphen/>
        <w:t xml:space="preserve"> Signature Page</w:t>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C:\WINDOWS\TEMP\DAL_265279_1</w:t>
      </w:r>
    </w:p>
    <w:p>
      <w:pPr>
        <w:pStyle w:val="Normal"/>
        <w:widowControl/>
        <w:jc w:val="both"/>
        <w:rPr/>
      </w:pPr>
      <w:r>
        <w:rPr/>
        <w:t>and revised document: C:\WINDOWS\TEMP\DAL_265279.2</w:t>
      </w:r>
    </w:p>
    <w:p>
      <w:pPr>
        <w:pStyle w:val="Normal"/>
        <w:widowControl/>
        <w:jc w:val="both"/>
        <w:rPr/>
      </w:pPr>
      <w:r>
        <w:rPr/>
      </w:r>
    </w:p>
    <w:p>
      <w:pPr>
        <w:pStyle w:val="Normal"/>
        <w:widowControl/>
        <w:jc w:val="both"/>
        <w:rPr/>
      </w:pPr>
      <w:r>
        <w:rPr/>
        <w:t>CompareRite found    1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DAL:265279.2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DAL:265279.2</w:t>
                    </w:r>
                  </w:p>
                </w:txbxContent>
              </v:textbox>
              <w10:wrap type="topAndBottom"/>
            </v:rect>
          </w:pict>
        </mc:Fallback>
      </mc:AlternateContent>
    </w:r>
  </w:p>
  <w:p>
    <w:pPr>
      <w:pStyle w:val="Normal"/>
      <w:jc w:val="both"/>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II/Exhibit C to Swap Schedule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DAL:265279.2</w:t>
                    </w:r>
                  </w:p>
                </w:txbxContent>
              </v:textbox>
              <w10:wrap type="topAndBottom"/>
            </v:rect>
          </w:pict>
        </mc:Fallback>
      </mc:AlternateContent>
    </w:r>
  </w:p>
  <w:p>
    <w:pPr>
      <w:pStyle w:val="Normal"/>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4"/>
      </w:rPr>
    </w:pPr>
    <w:r>
      <w:rPr>
        <w:sz w:val="14"/>
      </w:rPr>
      <w:t>DAL:265279.2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2000-10-31T19:36:00Z</dcterms:created>
  <dc:creator>A&amp;K</dc:creator>
  <dc:description/>
  <dc:language>en-CA</dc:language>
  <cp:lastModifiedBy>A&amp;K</cp:lastModifiedBy>
  <dcterms:modified xsi:type="dcterms:W3CDTF">2000-10-31T19:36:00Z</dcterms:modified>
  <cp:revision>2</cp:revision>
  <dc:subject/>
  <dc:title/>
</cp:coreProperties>
</file>