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27.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6.xml" ContentType="application/vnd.openxmlformats-officedocument.wordprocessingml.footer+xml"/>
  <Override PartName="/word/footer30.xml" ContentType="application/vnd.openxmlformats-officedocument.wordprocessingml.footer+xml"/>
  <Override PartName="/word/footer28.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10.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1.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0.xml" ContentType="application/vnd.openxmlformats-officedocument.wordprocessingml.footer+xml"/>
  <Override PartName="/word/footer19.xml" ContentType="application/vnd.openxmlformats-officedocument.wordprocessingml.footer+xml"/>
  <Override PartName="/word/footer2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r>
        <w:rPr>
          <w:rFonts w:ascii="Times New Roman" w:hAnsi="Times New Roman"/>
          <w:sz w:val="24"/>
        </w:rPr>
        <w:t xml:space="preserve">Name of Subscriber: </w:t>
        <w:tab/>
        <w:t>CIBC Inc., a Delaware Corporation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center"/>
        <w:rPr>
          <w:rFonts w:ascii="Times New Roman" w:hAnsi="Times New Roman"/>
          <w:sz w:val="24"/>
        </w:rPr>
      </w:pPr>
      <w:r>
        <w:rPr>
          <w:rFonts w:ascii="Times New Roman" w:hAnsi="Times New Roman"/>
          <w:sz w:val="24"/>
        </w:rPr>
        <w:t>a Delaware business trust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SUBSCRIPTION DOCUMENTS</w:t>
      </w:r>
    </w:p>
    <w:p>
      <w:pPr>
        <w:pStyle w:val="Normal"/>
        <w:bidi w:val="0"/>
        <w:jc w:val="both"/>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center"/>
        <w:rPr>
          <w:rFonts w:ascii="Times New Roman" w:hAnsi="Times New Roman"/>
          <w:sz w:val="24"/>
        </w:rPr>
      </w:pPr>
      <w:r>
        <w:rPr>
          <w:rFonts w:ascii="Times New Roman" w:hAnsi="Times New Roman"/>
          <w:sz w:val="24"/>
        </w:rPr>
        <w:t>Hawaii II 125-0 Trust</w:t>
      </w:r>
    </w:p>
    <w:p>
      <w:pPr>
        <w:pStyle w:val="Normal"/>
        <w:bidi w:val="0"/>
        <w:jc w:val="center"/>
        <w:rPr>
          <w:rFonts w:ascii="Times New Roman" w:hAnsi="Times New Roman"/>
          <w:sz w:val="24"/>
        </w:rPr>
      </w:pPr>
      <w:r>
        <w:rPr>
          <w:rFonts w:ascii="Times New Roman" w:hAnsi="Times New Roman"/>
          <w:sz w:val="24"/>
        </w:rPr>
        <w:t>a Delaware business trust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Instructions for Completion of Subscription Documents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To CIBC Inc.:</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In connection with your subscription for certificates of beneficial ownership interest in Hawaii II 125-0 Trust, a Delaware business trust (the “Trust”), please complete, sign and return the following enclosed documents: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1.</w:t>
        <w:tab/>
        <w:t>SUBSCRIPTION AGREEMENT.    Sign “Signature Page”.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2.</w:t>
        <w:tab/>
        <w:t>INVESTORS INFORMATION SHEET (Exhibit A).    No signature required.</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3.</w:t>
        <w:tab/>
        <w:t>ACCREDITED INVESTOR QUESTIONNAIRE (Exhibit B).    Complete.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r>
      <w:r>
        <w:rPr>
          <w:rFonts w:ascii="Times New Roman" w:hAnsi="Times New Roman"/>
          <w:b/>
          <w:sz w:val="24"/>
        </w:rPr>
        <w:t xml:space="preserve">COMPLETED ORIGINALS OF THE FULLY EXECUTED SUBSCRIPTION AGREEMENT AND ALL OF THE EXHIBITS LISTED ABOVE SHOULD BE MAILED TO THE FOLLOWING ADDRESS, EITHER IN THE RETURN ENVELOPE PROVIDED, OR VIA OTHER DELIVERY METHOD, SO THAT THE COMPLETED AND EXECUTED DOCUMENTS ARRIVE BY 10:00 A.M. ON NOVEMBER </w:t>
      </w:r>
      <w:ins w:id="0" w:author="">
        <w:r>
          <w:rPr>
            <w:rFonts w:ascii="Times New Roman" w:hAnsi="Times New Roman"/>
            <w:b/>
            <w:strike/>
            <w:sz w:val="24"/>
          </w:rPr>
          <w:t>17</w:t>
        </w:r>
      </w:ins>
      <w:r>
        <w:rPr>
          <w:rFonts w:ascii="Times New Roman" w:hAnsi="Times New Roman"/>
          <w:b/>
          <w:sz w:val="24"/>
        </w:rPr>
        <w:t xml:space="preserve"> </w:t>
      </w:r>
      <w:ins w:id="1" w:author="">
        <w:r>
          <w:rPr>
            <w:rFonts w:ascii="Times New Roman" w:hAnsi="Times New Roman"/>
            <w:b/>
            <w:sz w:val="24"/>
            <w:u w:val="double"/>
          </w:rPr>
          <w:t>20</w:t>
        </w:r>
      </w:ins>
      <w:r>
        <w:rPr>
          <w:rFonts w:ascii="Times New Roman" w:hAnsi="Times New Roman"/>
          <w:b/>
          <w:sz w:val="24"/>
        </w:rPr>
        <w:t>, 2000:</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ab/>
        <w:t>Hawaii II 125-0 Trust</w:t>
      </w:r>
    </w:p>
    <w:p>
      <w:pPr>
        <w:pStyle w:val="Normal"/>
        <w:bidi w:val="0"/>
        <w:jc w:val="both"/>
        <w:rPr>
          <w:rFonts w:ascii="Times New Roman" w:hAnsi="Times New Roman"/>
          <w:sz w:val="24"/>
        </w:rPr>
      </w:pPr>
      <w:r>
        <w:rPr>
          <w:rFonts w:ascii="Times New Roman" w:hAnsi="Times New Roman"/>
          <w:sz w:val="24"/>
        </w:rPr>
        <w:tab/>
        <w:tab/>
        <w:tab/>
        <w:tab/>
        <w:tab/>
        <w:tab/>
      </w:r>
    </w:p>
    <w:p>
      <w:pPr>
        <w:pStyle w:val="Normal"/>
        <w:bidi w:val="0"/>
        <w:jc w:val="both"/>
        <w:rPr>
          <w:rFonts w:ascii="Times New Roman" w:hAnsi="Times New Roman"/>
          <w:sz w:val="24"/>
        </w:rPr>
      </w:pPr>
      <w:r>
        <w:rPr>
          <w:rFonts w:ascii="Times New Roman" w:hAnsi="Times New Roman"/>
          <w:sz w:val="24"/>
        </w:rPr>
        <w:tab/>
        <w:tab/>
        <w:tab/>
        <w:t>c/o Mr. Gareth Bahlmann</w:t>
      </w:r>
    </w:p>
    <w:p>
      <w:pPr>
        <w:pStyle w:val="Normal"/>
        <w:bidi w:val="0"/>
        <w:jc w:val="both"/>
        <w:rPr>
          <w:rFonts w:ascii="Times New Roman" w:hAnsi="Times New Roman"/>
          <w:sz w:val="24"/>
        </w:rPr>
      </w:pPr>
      <w:r>
        <w:rPr>
          <w:rFonts w:ascii="Times New Roman" w:hAnsi="Times New Roman"/>
          <w:sz w:val="24"/>
        </w:rPr>
        <w:tab/>
        <w:tab/>
        <w:tab/>
        <w:t>Enron Global Finance</w:t>
      </w:r>
    </w:p>
    <w:p>
      <w:pPr>
        <w:pStyle w:val="Normal"/>
        <w:bidi w:val="0"/>
        <w:jc w:val="both"/>
        <w:rPr>
          <w:rFonts w:ascii="Times New Roman" w:hAnsi="Times New Roman"/>
          <w:sz w:val="24"/>
        </w:rPr>
      </w:pPr>
      <w:r>
        <w:rPr>
          <w:rFonts w:ascii="Times New Roman" w:hAnsi="Times New Roman"/>
          <w:sz w:val="24"/>
        </w:rPr>
        <w:tab/>
        <w:tab/>
        <w:tab/>
        <w:t>1400 Smith St.</w:t>
      </w:r>
    </w:p>
    <w:p>
      <w:pPr>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pStyle w:val="Normal"/>
        <w:bidi w:val="0"/>
        <w:jc w:val="both"/>
        <w:rPr>
          <w:rFonts w:ascii="Times New Roman" w:hAnsi="Times New Roman"/>
          <w:sz w:val="24"/>
        </w:rPr>
      </w:pPr>
      <w:r>
        <w:rPr>
          <w:rFonts w:ascii="Times New Roman" w:hAnsi="Times New Roman"/>
          <w:sz w:val="24"/>
        </w:rPr>
        <w:tab/>
        <w:tab/>
        <w:tab/>
        <w:t>Houston, Texas 77002</w:t>
      </w:r>
      <w:r>
        <w:br w:type="page"/>
      </w:r>
    </w:p>
    <w:p>
      <w:pPr>
        <w:pStyle w:val="Normal"/>
        <w:bidi w:val="0"/>
        <w:jc w:val="both"/>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bidi w:val="0"/>
        <w:jc w:val="both"/>
        <w:rPr>
          <w:rFonts w:ascii="Times New Roman" w:hAnsi="Times New Roman"/>
          <w:b/>
          <w:sz w:val="24"/>
        </w:rPr>
      </w:pPr>
      <w:r>
        <w:rPr>
          <w:rFonts w:ascii="Times New Roman" w:hAnsi="Times New Roman"/>
          <w:b/>
          <w:sz w:val="24"/>
        </w:rPr>
        <w:tab/>
        <w:t>THE SECURITIES WHICH ARE THE SUBJECT OF THE SUBSCRIPTION AGREEMENT HAVE NOT BEEN REGISTERED OR QUALIFIED UNDER FEDERAL OR STATE SECURITIES LAWS AND ARE BEING ISSUED IN RELIANCE UPON EXEMPTIONS FROM SUCH REGISTRATION OR QUALIFICATION.    ALL SECURITIES ISSUED WILL BE RESTRICTED SECURITIES AND WILL NOT BE FREELY TRANSFERABLE.    BOTH BECAUSE THE SECURITIES ARE UNREGISTERED AND BECAUSE OF CONTRACTUAL RESTRICTIONS, ANY SECURITIES RECEIVED WILL BE SUBJECT TO RESTRICTIONS ON TRANSFER, WHETHER BY ISSUANCE, GIFT, HYPOTHECATION OR OTHERWISE.</w:t>
      </w:r>
    </w:p>
    <w:p>
      <w:pPr>
        <w:pStyle w:val="Normal"/>
        <w:bidi w:val="0"/>
        <w:jc w:val="both"/>
        <w:rPr>
          <w:rFonts w:ascii="Times New Roman" w:hAnsi="Times New Roman"/>
          <w:b/>
          <w:sz w:val="24"/>
        </w:rPr>
      </w:pPr>
      <w:r>
        <w:rPr>
          <w:rFonts w:ascii="Times New Roman" w:hAnsi="Times New Roman"/>
          <w:b/>
          <w:sz w:val="24"/>
        </w:rPr>
      </w:r>
    </w:p>
    <w:p>
      <w:pPr>
        <w:pStyle w:val="Normal"/>
        <w:bidi w:val="0"/>
        <w:jc w:val="both"/>
        <w:rPr>
          <w:rFonts w:ascii="Times New Roman" w:hAnsi="Times New Roman"/>
          <w:sz w:val="18"/>
        </w:rPr>
      </w:pPr>
      <w:r>
        <w:rPr>
          <w:rFonts w:ascii="Times New Roman" w:hAnsi="Times New Roman"/>
          <w:b/>
          <w:sz w:val="24"/>
        </w:rPr>
        <w:tab/>
        <w:t>NO OFFER OR ISSUANCE OF SECURITIES IS MADE IN ANY JURISDICTION WHERE THE OFFER OR ISSUANCE WOULD BE UNLAWFUL.</w:t>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both"/>
        <w:rPr>
          <w:rFonts w:ascii="Times New Roman" w:hAnsi="Times New Roman"/>
          <w:sz w:val="18"/>
        </w:rPr>
      </w:pPr>
      <w:r>
        <w:rPr>
          <w:rFonts w:ascii="Times New Roman" w:hAnsi="Times New Roman"/>
          <w:sz w:val="18"/>
        </w:rPr>
      </w:r>
    </w:p>
    <w:p>
      <w:pPr>
        <w:pStyle w:val="Normal"/>
        <w:bidi w:val="0"/>
        <w:jc w:val="both"/>
        <w:rPr>
          <w:rFonts w:ascii="Times New Roman" w:hAnsi="Times New Roman"/>
          <w:sz w:val="18"/>
        </w:rPr>
      </w:pPr>
      <w:r>
        <w:rPr>
          <w:rFonts w:ascii="Times New Roman" w:hAnsi="Times New Roman"/>
          <w:sz w:val="18"/>
        </w:rPr>
      </w:r>
    </w:p>
    <w:p>
      <w:pPr>
        <w:pStyle w:val="Normal"/>
        <w:bidi w:val="0"/>
        <w:jc w:val="center"/>
        <w:rPr>
          <w:rFonts w:ascii="Times New Roman" w:hAnsi="Times New Roman"/>
          <w:sz w:val="24"/>
        </w:rPr>
      </w:pPr>
      <w:r>
        <w:rPr>
          <w:rFonts w:ascii="Times New Roman" w:hAnsi="Times New Roman"/>
          <w:b/>
          <w:sz w:val="24"/>
        </w:rPr>
        <w:t>SUBSCRIPTION AGREEMENT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 xml:space="preserve">November </w:t>
      </w:r>
      <w:ins w:id="2" w:author="">
        <w:r>
          <w:rPr>
            <w:rFonts w:ascii="Times New Roman" w:hAnsi="Times New Roman"/>
            <w:strike/>
            <w:sz w:val="24"/>
          </w:rPr>
          <w:t>17</w:t>
        </w:r>
      </w:ins>
      <w:r>
        <w:rPr>
          <w:rFonts w:ascii="Times New Roman" w:hAnsi="Times New Roman"/>
          <w:sz w:val="24"/>
        </w:rPr>
        <w:t xml:space="preserve"> </w:t>
      </w:r>
      <w:ins w:id="3" w:author="">
        <w:r>
          <w:rPr>
            <w:rFonts w:ascii="Times New Roman" w:hAnsi="Times New Roman"/>
            <w:b/>
            <w:sz w:val="24"/>
            <w:u w:val="double"/>
          </w:rPr>
          <w:t>20</w:t>
        </w:r>
      </w:ins>
      <w:r>
        <w:rPr>
          <w:rFonts w:ascii="Times New Roman" w:hAnsi="Times New Roman"/>
          <w:sz w:val="24"/>
        </w:rPr>
        <w:t>, 2000</w:t>
      </w:r>
    </w:p>
    <w:p>
      <w:pPr>
        <w:pStyle w:val="Normal"/>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This Subscription Agreement (this “Agreement”) is made in connection with the issuance from time to time by Hawaii II 125-0 Trust, a Delaware business trust (the “Trust”), of certificates (“Series Certificates”) representing beneficial interests in Series of the Trust to the person or entity who has signed this Agreement in the space provided below as “Subscriber.”    The Trust is operated in accordance with the Second Amended and Restated Trust Agreement dated as of the date hereof (as hereafter amended, supplemented or restated, the “Trust Agreement”).    Capitalized terms used and not otherwise defined herein have the meanings set forth in the Trust Agreement or in that certain Facility Agreement dated as of the date hereof among the Trust, Canadian Imperial Bank of Commerce, as Agent, and the other financial institution parties thereto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1.</w:t>
        <w:tab/>
      </w:r>
      <w:r>
        <w:rPr>
          <w:rFonts w:ascii="Times New Roman" w:hAnsi="Times New Roman"/>
          <w:b/>
          <w:sz w:val="24"/>
        </w:rPr>
        <w:t>Subscription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w:t>
        <w:tab/>
      </w:r>
      <w:r>
        <w:rPr>
          <w:rFonts w:ascii="Times New Roman" w:hAnsi="Times New Roman"/>
          <w:i/>
          <w:sz w:val="24"/>
          <w:u w:val="single"/>
        </w:rPr>
        <w:t>Subscription</w:t>
      </w:r>
      <w:r>
        <w:rPr>
          <w:rFonts w:ascii="Times New Roman" w:hAnsi="Times New Roman"/>
          <w:sz w:val="24"/>
        </w:rPr>
        <w:t>.    Subject to the terms and conditions of this Agreement, Subscriber hereby agrees to purchase from the Trust Series Certificates having a maximum aggregate Certificate Base Amount of $13,875,000 in accordance with Section 1(b) hereof.    In respect of such subscription to acquire Series Certificates, Subscriber hereby delivers to the Trust, together with this Agreement: (i) two original signature pages of this Agreement signed by Subscriber and (ii) a fully completed Investor Information Sheet and Accredited Investor Questionnaire, attached as Exhibits A and B, respectively.    Interest shall accrue on each such Series Certificate at the Certificate Yield (as defined in the Trust Agreement as LIBOR plus a Certificate Margin resulting in an aggregate rate of 15% per annum).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r>
      <w:r>
        <w:rPr>
          <w:rFonts w:ascii="Times New Roman" w:hAnsi="Times New Roman"/>
          <w:i/>
          <w:sz w:val="24"/>
          <w:u w:val="single"/>
        </w:rPr>
        <w:t>Commitment of Subscriber</w:t>
      </w:r>
      <w:r>
        <w:rPr>
          <w:rFonts w:ascii="Times New Roman" w:hAnsi="Times New Roman"/>
          <w:sz w:val="24"/>
        </w:rPr>
        <w:t>.    Subscriber hereby agrees to purchase Series Certificates issued by the Trust from time to time on Drawdown Dates on the following terms: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 xml:space="preserve">The maximum aggregate Certificate Base Amount of Series Certificates which the Subscriber may be required to purchase hereunder shall be $13,875,000 (the “Equity Commitment”).    Further, the maximum aggregate Certificate Base Amount of Series Certificates which the Subscriber may be required to purchase, in the aggregate, pursuant to this Agreement and the Subscription Agreement dated November </w:t>
      </w:r>
      <w:ins w:id="4" w:author="">
        <w:r>
          <w:rPr>
            <w:rFonts w:ascii="Times New Roman" w:hAnsi="Times New Roman"/>
            <w:strike/>
            <w:sz w:val="24"/>
          </w:rPr>
          <w:t>17</w:t>
        </w:r>
      </w:ins>
      <w:r>
        <w:rPr>
          <w:rFonts w:ascii="Times New Roman" w:hAnsi="Times New Roman"/>
          <w:sz w:val="24"/>
        </w:rPr>
        <w:t xml:space="preserve"> </w:t>
      </w:r>
      <w:ins w:id="5" w:author="">
        <w:r>
          <w:rPr>
            <w:rFonts w:ascii="Times New Roman" w:hAnsi="Times New Roman"/>
            <w:b/>
            <w:sz w:val="24"/>
            <w:u w:val="double"/>
          </w:rPr>
          <w:t>20</w:t>
        </w:r>
      </w:ins>
      <w:r>
        <w:rPr>
          <w:rFonts w:ascii="Times New Roman" w:hAnsi="Times New Roman"/>
          <w:sz w:val="24"/>
        </w:rPr>
        <w:t>, 2000 between the Hawaii I 125-0 Trust, a Delaware business trust (the “Hawaii I Trust”) and the Subscriber with respect to any single third party (</w:t>
      </w:r>
      <w:r>
        <w:rPr>
          <w:rFonts w:ascii="Times New Roman" w:hAnsi="Times New Roman"/>
          <w:i/>
          <w:sz w:val="24"/>
        </w:rPr>
        <w:t>i.e.</w:t>
      </w:r>
      <w:r>
        <w:rPr>
          <w:rFonts w:ascii="Times New Roman" w:hAnsi="Times New Roman"/>
          <w:sz w:val="24"/>
        </w:rPr>
        <w:t>, “Danno Assets”, as described in the Methodology), shall be [$1,054,725].    The parties hereto acknowledge that the Subscriber has previously purchased $1,650,000 aggregate Certificate Base Amount of Series Certificates (the “Original Hawaii Certificates”) from the Trust pursuant to a Subscription Agreement dated March 31, 2000 between the Trust and Subscriber (as amended, the “Existing Subscription Agreement”), which Existing Subscription Agreement, and all obligations thereunder, is hereby terminated.    Pursuant to Section 3.02(b) of the Trust Agreement, on the Closing Date, the Trust will issue Series Certificates to the Subscriber which shall replace the Original Hawaii Certificates, and the Original Hawaii Certificates shall be cancelled.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On each Drawdown Date, subject to Section 1(d), and on the terms and conditions of this Agreement and the Trust Agreement, Subscriber shall pay the applicable initial Certificate Base Amount (as stated in the related Asset Notice) of such Series Certificate to the Trust and the Trust shall issue to Subscriber the applicable Series Certificate.    The applicable initial Certificate Base Amount shall not exceed an amount equal to 3% (the “Equity Percent”) of the sum of such applicable initial Certificate Base Amount plus the Advances comprising the Tranche to be drawn down on such Drawdown Date; provided that the Equity Percent may exceed 3% to the extent necessary to include transaction costs and fees approved by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The Equity Commitment shall be reduced by amounts paid to the Trust by Subscriber for issuance of Series Certificates from time to time (including, without limitation, the Series Certificates issued in replacement of the Original Hawaii Certificates) and shall be increased by payments of Certificate Base Amount by the Trust to Subscriber from time to time, subject always to a maximum Equity Commitment of $13,875,000.</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The Trust shall pay amounts of Certificate Base Amount and Certificate Yield from time to time to the Subscriber as provided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w:t>
        <w:tab/>
        <w:t>In the event that on any Final Distribution Date with respect to any Series Certificate all outstanding amounts of Certificate Base Amount of and Certificate Yield accrued on such Series Certificate are not paid in full to Subscriber by the Trust, the obligations of Subscriber to purchase additional Certificates shall automatically terminate.    In the event that on any Final Distribution Date (as defined in the Trust Agreement of the Hawaii I Trust (the “Hawaii I Trust Agreement”)) with respect to any Series Certificates (as defined in the Hawaii I Trust Agreement) all outstanding amounts of Certificate Base Amount of and Certificate Yield accrued on such Series Certificate (as such terms are defined in the Hawaii I Trust Agreement) are not paid in full to the holder of such Series Certificate by the Hawaii I Trust, the obligations of Subscriber to purchase additional Certificates shall automatically be terminated.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(c)</w:t>
        <w:tab/>
      </w:r>
      <w:r>
        <w:rPr>
          <w:rFonts w:ascii="Times New Roman" w:hAnsi="Times New Roman"/>
          <w:i/>
          <w:sz w:val="24"/>
          <w:u w:val="single"/>
        </w:rPr>
        <w:t>Procedure</w:t>
      </w:r>
      <w:r>
        <w:rPr>
          <w:rFonts w:ascii="Times New Roman" w:hAnsi="Times New Roman"/>
          <w:sz w:val="24"/>
        </w:rPr>
        <w:t xml:space="preserve">. 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 xml:space="preserve">Enron shall deliver to the Subscriber an Asset Notice together with an Asset Summary with respect to each proposed Asset Structure in accordance with Section 1(c)(ii); provided, however, with respect to the Hawaii I Tranches, Enron shall not be required to deliver an Asset Notice other than the Asset Notice delivered in respect of the Hawaii I Tranche under the Hawaii I Facility Agreement, and such original Asset Notice shall be deemed to be the Asset Notice for purposes of this Agreement.    The Subscriber, acting reasonably, shall make the confirmation specified in paragraph (A), (B) or (C) of the form of acknowledgment attached to such Asset Notice and shall deliver the executed Asset Notice to the Agent not later than 5 Business Days after receipt by the Subscriber from Enron. 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 xml:space="preserve">(ii) </w:t>
        <w:tab/>
        <w:t>Subject to Section 1(c)(iv), any delivery of an Asset Notice and Asset Summary shall be effective if (A) they are delivered as follows (or to such other address as CIBC Inc. may specify to Enron on not less than 5 Business Days’ notice) by hand, overnight courier, facsimile or certified mail, return receipt requested:</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1440" w:start="1440"/>
        <w:jc w:val="both"/>
        <w:rPr>
          <w:rFonts w:ascii="Times New Roman" w:hAnsi="Times New Roman"/>
          <w:sz w:val="24"/>
        </w:rPr>
      </w:pPr>
      <w:r>
        <w:rPr>
          <w:rFonts w:ascii="Times New Roman" w:hAnsi="Times New Roman"/>
          <w:sz w:val="24"/>
        </w:rPr>
        <w:tab/>
        <w:tab/>
        <w:tab/>
        <w:t>(1)</w:t>
        <w:tab/>
        <w:t>CIBC Inc.</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c/o CIBC World Markets</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425 Lexington Avenue</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New York, New York 10017</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Attention: Ian Schottlaender and Mercedes Arango</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Fax No.: (212) 885-4909; and</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(2)</w:t>
        <w:tab/>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425 Lexington Avenue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New York, New York 10017</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Attention: MaryBeth Ross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Fax No.: (212) 856-3763</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(3)</w:t>
        <w:tab/>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1440" w:start="2160"/>
        <w:jc w:val="both"/>
        <w:rPr>
          <w:rFonts w:ascii="Times New Roman" w:hAnsi="Times New Roman"/>
          <w:sz w:val="24"/>
        </w:rPr>
      </w:pPr>
      <w:r>
        <w:rPr>
          <w:rFonts w:ascii="Times New Roman" w:hAnsi="Times New Roman"/>
          <w:sz w:val="24"/>
        </w:rPr>
        <w:tab/>
        <w:t>c/o CIBC World Markets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1600 Smith, Suite 3100</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Attention: Mark Wolf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Tel.: (713) 650-2588</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720"/>
        <w:jc w:val="both"/>
        <w:rPr>
          <w:rFonts w:ascii="Times New Roman" w:hAnsi="Times New Roman"/>
          <w:sz w:val="24"/>
        </w:rPr>
      </w:pPr>
      <w:r>
        <w:rPr>
          <w:rFonts w:ascii="Times New Roman" w:hAnsi="Times New Roman"/>
          <w:sz w:val="24"/>
        </w:rPr>
        <w:t>Fax No.: (713) 650-7675;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t xml:space="preserve">commencing not later than 11:00 a.m. (Eastern time) on the date of delivery of such Asset Notice and Asset Summary, a representative of Enron Corp. shall telephone (in order until one of them answers the call) Ian Schottlaender at (212) 856-3694, MaryBeth Ross at (212) 856-3691, Mercy Arango at (212) 856-3862 and Mark Wolf at (713) 650-2588 or, if none of the foregoing answer such telephone calls, any Executive Director (or more senior employee) of CIBC World Markets Corp.’s Houston office (or, if at any time there is no CIBC World Markets Corp. Houston office, CIBC World Markets Corp.’s New York office) (each, a </w:t>
      </w:r>
      <w:r>
        <w:rPr>
          <w:rFonts w:ascii="Times New Roman" w:hAnsi="Times New Roman"/>
          <w:b/>
          <w:sz w:val="24"/>
        </w:rPr>
        <w:t>“</w:t>
      </w:r>
      <w:r>
        <w:rPr>
          <w:rFonts w:ascii="Times New Roman" w:hAnsi="Times New Roman"/>
          <w:b/>
          <w:sz w:val="24"/>
          <w:u w:val="single"/>
        </w:rPr>
        <w:t>Designated Person</w:t>
      </w:r>
      <w:r>
        <w:rPr>
          <w:rFonts w:ascii="Times New Roman" w:hAnsi="Times New Roman"/>
          <w:b/>
          <w:sz w:val="24"/>
        </w:rPr>
        <w:t>”</w:t>
      </w:r>
      <w:r>
        <w:rPr>
          <w:rFonts w:ascii="Times New Roman" w:hAnsi="Times New Roman"/>
          <w:sz w:val="24"/>
        </w:rPr>
        <w:t>) and notify such Designated Person of the delivery of such Asset Notice and Asset Summary and obtain an oral confirmation of receipt from such Designated Person.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For the purposes of Section 1(c)(i), an Asset Notice and Asset Summary shall be deemed delivered on the Business Day on which they are delivered to the addressees specified in Section 5.1(b)(i) and otherwise in accordance with Section 5.1(b)(ii), provided that if any Asset Notice or Asset Summary is delivered after 11 a.m. (Eastern time), or if oral confirmation of such receipt is not received until after 5:00 p.m. (Eastern time) on such Business Day, then both shall be deemed to have been delivered on the first Business Day next following (so long as physical delivery and oral confirmation are received by 11:00 a.m. and 5:00 p.m., respectively (Eastern time) on such next Business Day).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For so long as Canadian Imperial Bank of Commerce is the Agent under the Facility Agreement, delivery of an Asset Notice, Asset Summary or Drawdown Request to the Agent in accordance with Section 5.1 of the Facility Agreement shall constitute valid service thereof on Subscriber for the purposes of Section 1(c)(i) and (ii) hereof.    Such delivery shall be deemed to take place as of the same time and date as such delivery is deemed to take place with respect to the Agent under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(v)          If the Subscriber proposes to make the certification specified in paragraph (C) of the acknowledgment to any Asset Notice, it shall consult with Enron in a timely manner regarding any revisions to the Asset Notice or Asset Summary which may enable Subscriber to make the certification in paragraph (A) or (B) of the acknowledgment to any revised Asset Notice submitted    with respect to the proposed Underlying Asset.    Any such revised Asset Notice shall be delivered to and considered by Subscriber in accordance with Section 1(c)(i) and (ii).</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(d)</w:t>
        <w:tab/>
      </w:r>
      <w:r>
        <w:rPr>
          <w:rFonts w:ascii="Times New Roman" w:hAnsi="Times New Roman"/>
          <w:i/>
          <w:sz w:val="24"/>
          <w:u w:val="single"/>
        </w:rPr>
        <w:t>Conditions Precedent</w:t>
      </w:r>
      <w:r>
        <w:rPr>
          <w:rFonts w:ascii="Times New Roman" w:hAnsi="Times New Roman"/>
          <w:sz w:val="24"/>
        </w:rPr>
        <w:t>. Subscriber’s obligation to purchase any Series Certificate proposed to be issued by the Trust on any particular Drawdown Date under this Agreement is conditioned upon the following:</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(1)</w:t>
        <w:tab/>
        <w:t xml:space="preserve"> At least 3 Business Days prior to the proposed Drawdown Date, the Trust shall have delivered to the Subscriber a copy of the Drawdown Request delivered by the Trust pursuant to the Facility Agreement requesting that Advances be funded on the Drawdown Date, which Drawdown Request shall be deemed to be a request by the Trust that Subscriber fund the Certificate Base Amount specified in the related Asset Notice.    So long as the Agent is Canadian Imperial Bank of Commerce, delivery of the Drawdown Request to the Agent in accordance with Section 5.2(a) of the Facility Agreement shall be deemed to satisfy this subsection (1).</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(2)</w:t>
        <w:tab/>
        <w:t>With respect to any Series Certificate related to a Tranche other than a    Hawaii Tranche or a Hawaii I Tranche,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w:t>
        <w:tab/>
        <w:t>a copy, certified as of the Drawdown Date, or such other date as agreed by the Agent, as true and complete by a duly authorized representative of the Trust and Enron as the case may be 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w:t>
        <w:tab/>
        <w:t>the organizational documents of Enron and the Trust including evidence of due formation and “good standing” of Enron and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all other trust or other applicable authorizations and actions of the Trust required (including without limitation any resolutions of its members or approvals of beneficiaries) to enable it to enter into, execute and perform those of the Operative Documents to which it is, or is to be, a party;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b/>
        <w:t>(C)</w:t>
        <w:tab/>
        <w:t>all other resolutions, powers, declarations, approvals, consents and licenses (official or otherwise) necessary or appropriate for the entry into and performance by the Trust of the Operative Documents to which it is or is to be a party, and for the enforceability and validity thereof.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w:t>
        <w:tab/>
        <w:t>duly executed counterparts 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w:t>
        <w:tab/>
        <w:t>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(B)</w:t>
        <w:tab/>
        <w:t>the Trust Agreement and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3600" w:start="3600"/>
        <w:jc w:val="both"/>
        <w:rPr>
          <w:rFonts w:ascii="Times New Roman" w:hAnsi="Times New Roman"/>
          <w:sz w:val="24"/>
        </w:rPr>
      </w:pPr>
      <w:r>
        <w:rPr>
          <w:rFonts w:ascii="Times New Roman" w:hAnsi="Times New Roman"/>
          <w:sz w:val="24"/>
        </w:rPr>
        <w:tab/>
        <w:tab/>
        <w:tab/>
        <w:tab/>
        <w:tab/>
        <w:t>(C)</w:t>
        <w:tab/>
        <w:t>the Total Return Swap Agreement described in clause (i) of the definition of Total Return Swap Agreement (not including the Swap Confirmations);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(D)</w:t>
        <w:tab/>
        <w:t>the Reimbursement and Disclosure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1440" w:start="3600"/>
        <w:jc w:val="both"/>
        <w:rPr>
          <w:rFonts w:ascii="Times New Roman" w:hAnsi="Times New Roman"/>
          <w:sz w:val="24"/>
        </w:rPr>
      </w:pPr>
      <w:r>
        <w:rPr>
          <w:rFonts w:ascii="Times New Roman" w:hAnsi="Times New Roman"/>
          <w:sz w:val="24"/>
        </w:rPr>
        <w:t>(E)</w:t>
        <w:tab/>
        <w:t>the Beneficial Interest Certificate and the Notes, including on the Second Closing Date any Notes required to be issued to additional Lenders under Section 3.3 of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3600" w:start="3600"/>
        <w:jc w:val="both"/>
        <w:rPr>
          <w:rFonts w:ascii="Times New Roman" w:hAnsi="Times New Roman"/>
          <w:sz w:val="24"/>
        </w:rPr>
      </w:pPr>
      <w:r>
        <w:rPr>
          <w:rFonts w:ascii="Times New Roman" w:hAnsi="Times New Roman"/>
          <w:sz w:val="24"/>
        </w:rPr>
        <w:tab/>
        <w:tab/>
        <w:tab/>
        <w:tab/>
        <w:tab/>
        <w:t>(F)</w:t>
        <w:tab/>
        <w:t>the Enron Guaranty;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3600" w:start="3600"/>
        <w:jc w:val="both"/>
        <w:rPr>
          <w:rFonts w:ascii="Times New Roman" w:hAnsi="Times New Roman"/>
          <w:sz w:val="24"/>
        </w:rPr>
      </w:pPr>
      <w:r>
        <w:rPr>
          <w:rFonts w:ascii="Times New Roman" w:hAnsi="Times New Roman"/>
          <w:sz w:val="24"/>
        </w:rPr>
        <w:tab/>
        <w:tab/>
        <w:tab/>
        <w:tab/>
        <w:tab/>
        <w:t>(G)</w:t>
        <w:tab/>
        <w:t>the Funding Indemnity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(H)</w:t>
        <w:tab/>
        <w:t>the applicable Series Supplement;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(I)</w:t>
        <w:tab/>
        <w:t>the applicable Drawdown Request;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(J)</w:t>
        <w:tab/>
        <w:t>the applicable Asset LLC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(K)</w:t>
        <w:tab/>
        <w:t>the applicable Transferor Constitutional Document, which Transferor Constitutional Document and related Transferor must be in form and substance reasonably satisfactory to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(L)</w:t>
        <w:tab/>
        <w:t>the applicable Swap Confirmation or, if applicable, the related Total Return Swap Agreement described in clause (ii) of the definition of Total Return Swap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(M)</w:t>
        <w:tab/>
        <w:t>the applicable Series Certificate (the initial holder of which shall be CIBC Inc. or its assignee);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(N)</w:t>
        <w:tab/>
        <w:t>the applicable Independent Auctioneer Letter;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(O)</w:t>
        <w:tab/>
        <w:t>the applicable Transfer and Auction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(P)</w:t>
        <w:tab/>
        <w:t>as applicable, either (i) the applicable Put Option Agreement and the applicable Put Option Assignment and/or (ii) the applicable Demand Note and Demand Assignment;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(Q)</w:t>
        <w:tab/>
        <w:t>the applicable Asset Notice, which does not disclose any Liens, other than Liens approved by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(R)</w:t>
        <w:tab/>
        <w:t>receipts from the applicable Asset LLC and the applicable Transferor acknowledging receipt of the capital contributions made on the Drawdown Date and from the applicable Asset LLC acknowledging payment in full of the Asset LLC Note (as defined in the Asset LLC Agreement) in accordance with Section 3.02(b) of the Transfer and Auction Agreement and from the Trust acknowledging receipt of an amount equal to the proceeds of the applicable Tranche as specified in the related Drawdown request and from the Trust acknowledging receipt of the applicable Class B Interest;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(S)</w:t>
        <w:tab/>
        <w:t>if the Transferor has incurred any obligations prior to the Drawdown Date, a certificate executed by Enron, in form and substance satisfactory to the Subscriber, representing and warranting that such obligations have been discharged in full or that the Transferor will have sufficient funds to discharge such obligations as they fall due.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(iii)</w:t>
        <w:tab/>
        <w:t>legal opinions in substantially the form of Exhibit J to the Facility Agreement and dated the Drawdown Date from: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w:t>
        <w:tab/>
        <w:t>Andrews &amp; Kurth L.L.P., special counsel to the applicable Asset LLC, the applicable Transferor, the Sponsor, Enron and the applicable Permitted Swap Party (if any);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Prickett, Jones &amp; Elliott, special Delaware counsel to the applicable Asset LLC;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(C)</w:t>
        <w:tab/>
        <w:t>general counsel to Enron, the Sponsor and the applicable Permitted Swap Party (if any), respectively;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(D)</w:t>
        <w:tab/>
        <w:t xml:space="preserve">Richards, Layton &amp; Finger, counsel to the Trust and to Wilmington Trust Company;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(E)</w:t>
        <w:tab/>
        <w:t>only on the Second Drawdown Date, an opinion of Mayer Brown &amp; Platt, counsel to the Agent;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(F)</w:t>
        <w:tab/>
        <w:t>Andrews &amp; Kurth L.L.P., Prickett, Jones &amp; Elliott, Richards, Layton &amp; Finger or such other counsel as may be reasonably acceptable to the Subscriber, as special counsel to the applicable Transferor.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(iv)</w:t>
        <w:tab/>
        <w:t>(A)</w:t>
        <w:tab/>
        <w:t xml:space="preserve">the organizational documents of the applicable Asset LLC, the applicable Transferor and the applicable Sponsor, including evidence of due formation and “good standing”;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(C)</w:t>
        <w:tab/>
        <w:t>all other limited liability company, trust or other applicable authorizations and actions of the Trust, the applicable Asset LLC, the applicable Transferor and the Sponsor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and the applicable Transferor in the board (or other appropriate governing body) resolutions described in Section 1(d)(2)(iv)(B) to sign Operative Documents to which it is or is to be a party.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(3)</w:t>
        <w:tab/>
        <w:t>With respect to any Series Certificate related to a Hawaii I Tranche, Agent, or if Canadian Imperial Bank of Commerce is not the Agent, Subscriber shall have received by 12:00 noon on the Business Day prior to the proposed Drawdown Date (or at such other time as is agreed by Subscriber) each of the following items in all respects (except where otherwise specified) in form and substance reasonably satisfactory to the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w:t>
        <w:tab/>
        <w:t>duly executed counterparts of:</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w:t>
        <w:tab/>
        <w:t>the applicable Series Supplement;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3600" w:start="3600"/>
        <w:jc w:val="both"/>
        <w:rPr>
          <w:rFonts w:ascii="Times New Roman" w:hAnsi="Times New Roman"/>
          <w:sz w:val="24"/>
        </w:rPr>
      </w:pPr>
      <w:r>
        <w:rPr>
          <w:rFonts w:ascii="Times New Roman" w:hAnsi="Times New Roman"/>
          <w:sz w:val="24"/>
        </w:rPr>
        <w:tab/>
        <w:tab/>
        <w:tab/>
        <w:tab/>
        <w:tab/>
        <w:t>(B)</w:t>
        <w:tab/>
        <w:t>the applicable Drawdown Request with a copy of the Asset Notice executed and delivered in connection with the drawdown of the applicable Hawaii I Tranche under the Hawaii I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2160" w:start="2160"/>
        <w:jc w:val="both"/>
        <w:rPr>
          <w:rFonts w:ascii="Times New Roman" w:hAnsi="Times New Roman"/>
          <w:sz w:val="24"/>
        </w:rPr>
      </w:pPr>
      <w:r>
        <w:rPr>
          <w:rFonts w:ascii="Times New Roman" w:hAnsi="Times New Roman"/>
          <w:sz w:val="24"/>
        </w:rPr>
        <w:tab/>
        <w:tab/>
        <w:tab/>
        <w:tab/>
        <w:t>(C)</w:t>
        <w:tab/>
        <w:t>the applicable Swap Confirmation and, if applicable, the related Total Return Swap Agreement described in clause (ii) of the definition of Total Return Swap Agreement set forth in the Facility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(D)</w:t>
        <w:tab/>
        <w:t>the applicable Series Certificate (the initial holder of which shall be CIBC Inc. or its assignee);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(E)</w:t>
        <w:tab/>
        <w:t>the applicable Transfer and Auction Agreement;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(F)</w:t>
        <w:tab/>
        <w:t>as applicable, either (i) the applicable Put Option Assignment and/or (ii) the applicable Demand Note Assignment.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(G)</w:t>
        <w:tab/>
        <w:t>the applicable Independent Auctioneer Letter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(H)</w:t>
        <w:tab/>
        <w:t>written confirmation (i) from the Agent under the Hawaii I Facility Agreement that all amounts of principal and interest and all other amounts due in respect of the applicable tranche under the Hawaii I Facility Agreement have been paid in full, (ii) from the holder of the applicable beneficial interest certificate issued with respect to such Hawaii I Tranche that all amounts of certificate base amount and certificate yield thereon have been paid in full and (iii) from Enron that such Hawaii I Tranche conforms to the criteria set forth in paragraph 9 of the Model Structure;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(I)</w:t>
        <w:tab/>
        <w:t>written confirmation from Enron that the Operative Documents (as defined in the Hawaii I Facility Agreement) have not been amended, modified or rescinded since the date such documents were executed and delivered, except as specifically identified, and, if such documents have been amended, modified or rescinded,    written confirmation from the Agent that it has consented to such amendments, modifications or rescissions.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w:t>
        <w:tab/>
        <w:t>legal opinions in substantially the form of Exhibit J to the Facility Agreement and dated the Drawdown Date from:</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(A)</w:t>
        <w:tab/>
        <w:t>Andrews &amp; Kurth L.L.P., special counsel to the applicable Asset LLC, the applicable Transferor, the Sponsor, the applicable Permitted Swap Party (if any) and Enron;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Prickett, Jones &amp; Elliott, special counsel to the applicable Asset LLC;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(C)</w:t>
        <w:tab/>
        <w:t>general counsel to Enron, the Sponsor and the applicable Permitted Swap Party (if any), respectively;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(D)</w:t>
        <w:tab/>
        <w:t>Richards, Layton &amp; Finger, counsel to the Trust and to Wilmington Trust Company;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(E)</w:t>
        <w:tab/>
        <w:t>Andrews &amp; Kurth L.L.P., Prickett, Jones &amp; Elliott, Richards, Layton &amp; Finger or such other counsel as may be reasonably acceptable to the Subscriber, as special counsel to the applicable Transferor.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(iii)</w:t>
        <w:tab/>
        <w:t>(A)</w:t>
        <w:tab/>
        <w:t>board (or other appropriate governing body) resolutions of each party to the Operative Documents other than Enron, the Trust and the Finance Parties (a) approving the transactions and the matters contemplated by each of the Operative Documents, and (b) authorizing or granting a power of attorney to a specified Person or Persons to (x) execute on its behalf each of the Operative Documents to which it is a party, and (y) give all notices, requests, instructions, certificates and other documents for the Trust in connection with each of the Operative Documents to which it is a party;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2160"/>
        <w:jc w:val="both"/>
        <w:rPr>
          <w:rFonts w:ascii="Times New Roman" w:hAnsi="Times New Roman"/>
          <w:sz w:val="24"/>
        </w:rPr>
      </w:pPr>
      <w:r>
        <w:rPr>
          <w:rFonts w:ascii="Times New Roman" w:hAnsi="Times New Roman"/>
          <w:sz w:val="24"/>
        </w:rPr>
        <w:t>(B)</w:t>
        <w:tab/>
        <w:t>all other limited liability company, trust or other applicable authorizations and actions of the Trust, the applicable Asset LLC, the applicable Transferor, the Sponsor and the Permitted Swap Party (if any) required (including without limitation any resolutions of its members or approvals of beneficiaries) to enable it to enter into, execute and perform those of the Operative Documents to which it is, or is to be, a party; specimen signatures of the signatories authorized by the Sponsor in its own capacity and as the sole member or managing member (as applicable) of the applicable Asset LLC, the applicable Transferor and the applicable Permitted Swap Party (if any) in the board (or other appropriate governing body) resolutions described in Section 1(d)(3)(iii)(A) to sign Operative Documents to which it is or is to be a party.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(4)</w:t>
        <w:tab/>
        <w:t xml:space="preserve">With respect to a Series Certificate related to a Hawaii Tranche, Subscriber shall have received all of the documents described in Section 4.3 of the Facility Agreement, in form and substance reasonably satisfactory to the Subscriber.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(5)</w:t>
        <w:tab/>
        <w:t>Since the date of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w:t>
        <w:tab/>
        <w:t>no Material Adverse Effect, Event of Default or Default, and no “Material Adverse Effect”, “Event of Default” or “Default” (as such terms are defined in the Hawaii I Facility Agreement), shall have occurred and be continuing unremedied or will occur as a result of the issuance of the applicable Series Certificate or the making of the applicable Advances to the Trust;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1440"/>
        <w:jc w:val="both"/>
        <w:rPr>
          <w:rFonts w:ascii="Times New Roman" w:hAnsi="Times New Roman"/>
          <w:sz w:val="24"/>
        </w:rPr>
      </w:pPr>
      <w:r>
        <w:rPr>
          <w:rFonts w:ascii="Times New Roman" w:hAnsi="Times New Roman"/>
          <w:sz w:val="24"/>
        </w:rPr>
        <w:t>(ii)</w:t>
        <w:tab/>
        <w:t>the representations and warranties required to be made in accordance with Article XI of the Facility Agreement, and the representations and warranties set forth in Section 3 of this Agreement, are true and accurate in all material respects in each case by reference to the facts and circumstances then subsisting and will remain true and accurate immediately after the issuance of the applicable Series Certificate to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(e)</w:t>
        <w:tab/>
      </w:r>
      <w:r>
        <w:rPr>
          <w:rFonts w:ascii="Times New Roman" w:hAnsi="Times New Roman"/>
          <w:i/>
          <w:sz w:val="24"/>
          <w:u w:val="single"/>
        </w:rPr>
        <w:t>Acceptance or Rejection of Subscription</w:t>
      </w:r>
      <w:r>
        <w:rPr>
          <w:rFonts w:ascii="Times New Roman" w:hAnsi="Times New Roman"/>
          <w:sz w:val="24"/>
        </w:rPr>
        <w:t xml:space="preserve">.    Subscriber understands and agrees that the Trust may accept any subscription to be made hereunder at its discretion and may reject a subscription, in whole but not in part, if (i) Subscriber fails to make the deliveries to the Trust set forth in Section l(a) above on or before November </w:t>
      </w:r>
      <w:ins w:id="6" w:author="">
        <w:r>
          <w:rPr>
            <w:rFonts w:ascii="Times New Roman" w:hAnsi="Times New Roman"/>
            <w:strike/>
            <w:sz w:val="24"/>
          </w:rPr>
          <w:t>17</w:t>
        </w:r>
      </w:ins>
      <w:r>
        <w:rPr>
          <w:rFonts w:ascii="Times New Roman" w:hAnsi="Times New Roman"/>
          <w:sz w:val="24"/>
        </w:rPr>
        <w:t xml:space="preserve"> </w:t>
      </w:r>
      <w:ins w:id="7" w:author="">
        <w:r>
          <w:rPr>
            <w:rFonts w:ascii="Times New Roman" w:hAnsi="Times New Roman"/>
            <w:b/>
            <w:sz w:val="24"/>
            <w:u w:val="double"/>
          </w:rPr>
          <w:t>20</w:t>
        </w:r>
      </w:ins>
      <w:r>
        <w:rPr>
          <w:rFonts w:ascii="Times New Roman" w:hAnsi="Times New Roman"/>
          <w:sz w:val="24"/>
        </w:rPr>
        <w:t>, 2000 or (ii) the Trust, in its sole discretion, determines that the offer or issuance of Certificates to Subscriber from time to time would not qualify for the federal securities law exemption described in Section 2(c)(i) below.    If the Trust rejects this subscription for either of these reasons, neither the Trust nor Subscriber shall have any further obligation under this Agreement to purchase additional Series Certificates, and Subscriber’s commitment hereunder shall automatically terminate.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(f)</w:t>
        <w:tab/>
      </w:r>
      <w:r>
        <w:rPr>
          <w:rFonts w:ascii="Times New Roman" w:hAnsi="Times New Roman"/>
          <w:i/>
          <w:sz w:val="24"/>
          <w:u w:val="single"/>
        </w:rPr>
        <w:t>Termination of Equity Commitment</w:t>
      </w:r>
      <w:r>
        <w:rPr>
          <w:rFonts w:ascii="Times New Roman" w:hAnsi="Times New Roman"/>
          <w:sz w:val="24"/>
        </w:rPr>
        <w:t xml:space="preserve">.    Unless earlier terminated by operation of Section 1(b)(v) of this Agreement, Subscriber’s obligations under this Agreement shall terminate on the Termination Date.    The “Termination Date” means the earlier to occur of (i) October </w:t>
      </w:r>
      <w:ins w:id="8" w:author="">
        <w:r>
          <w:rPr>
            <w:rFonts w:ascii="Times New Roman" w:hAnsi="Times New Roman"/>
            <w:strike/>
            <w:sz w:val="24"/>
          </w:rPr>
          <w:t>15</w:t>
        </w:r>
      </w:ins>
      <w:r>
        <w:rPr>
          <w:rFonts w:ascii="Times New Roman" w:hAnsi="Times New Roman"/>
          <w:sz w:val="24"/>
        </w:rPr>
        <w:t xml:space="preserve"> </w:t>
      </w:r>
      <w:ins w:id="9" w:author="">
        <w:r>
          <w:rPr>
            <w:rFonts w:ascii="Times New Roman" w:hAnsi="Times New Roman"/>
            <w:b/>
            <w:sz w:val="24"/>
            <w:u w:val="double"/>
          </w:rPr>
          <w:t>19</w:t>
        </w:r>
      </w:ins>
      <w:r>
        <w:rPr>
          <w:rFonts w:ascii="Times New Roman" w:hAnsi="Times New Roman"/>
          <w:sz w:val="24"/>
        </w:rPr>
        <w:t xml:space="preserve">, 2002 or such later date as Subscriber and the Trust (with the Trust acting on the direction of Enron) may agree in writing,    (ii) the Final Advance Date under the Facility Agreement, (iii) the date on which Subscriber notifies the Trust and Enron in writing that Subscriber is terminating its commitments hereunder or (iv) the date on which Enron notifies the Trust and Subscriber in writing that Enron is terminating Subscriber’s commitments hereunder; provided that the notices described in clauses (iii) and (iv) must be delivered (if at all) either (A) during the 15 day period commencing on the Final Advance Date (as defined in the Hawaii I Facility Agreement from time to time) or (B) if the Final Advance Date (as defined in the Hawaii I Facility Agreement) is extended by amendment, during the 15 day period commencing on the date of such amendment.    Notwithstanding the foregoing, if the Termination Date occurs based on delivery of notice by the Subscriber as described in this Section (f) after an Asset Notice has been given to and accepted by the Agent and the Subscriber but before the related Tranche has been funded, Subscriber’s obligation to </w:t>
      </w:r>
      <w:ins w:id="10" w:author="">
        <w:r>
          <w:rPr>
            <w:rFonts w:ascii="Times New Roman" w:hAnsi="Times New Roman"/>
            <w:strike/>
            <w:sz w:val="24"/>
          </w:rPr>
          <w:t>fund</w:t>
        </w:r>
      </w:ins>
      <w:r>
        <w:rPr>
          <w:rFonts w:ascii="Times New Roman" w:hAnsi="Times New Roman"/>
          <w:sz w:val="24"/>
        </w:rPr>
        <w:t xml:space="preserve"> </w:t>
      </w:r>
      <w:ins w:id="11" w:author="">
        <w:r>
          <w:rPr>
            <w:rFonts w:ascii="Times New Roman" w:hAnsi="Times New Roman"/>
            <w:b/>
            <w:sz w:val="24"/>
            <w:u w:val="double"/>
          </w:rPr>
          <w:t>purchase</w:t>
        </w:r>
      </w:ins>
      <w:r>
        <w:rPr>
          <w:rFonts w:ascii="Times New Roman" w:hAnsi="Times New Roman"/>
          <w:sz w:val="24"/>
        </w:rPr>
        <w:t xml:space="preserve"> the </w:t>
      </w:r>
      <w:ins w:id="12" w:author="">
        <w:r>
          <w:rPr>
            <w:rFonts w:ascii="Times New Roman" w:hAnsi="Times New Roman"/>
            <w:strike/>
            <w:sz w:val="24"/>
          </w:rPr>
          <w:t>Tranche</w:t>
        </w:r>
      </w:ins>
      <w:r>
        <w:rPr>
          <w:rFonts w:ascii="Times New Roman" w:hAnsi="Times New Roman"/>
          <w:sz w:val="24"/>
        </w:rPr>
        <w:t xml:space="preserve"> </w:t>
      </w:r>
      <w:ins w:id="13" w:author="">
        <w:r>
          <w:rPr>
            <w:rFonts w:ascii="Times New Roman" w:hAnsi="Times New Roman"/>
            <w:b/>
            <w:sz w:val="24"/>
            <w:u w:val="double"/>
          </w:rPr>
          <w:t>Series Certificate</w:t>
        </w:r>
      </w:ins>
      <w:r>
        <w:rPr>
          <w:rFonts w:ascii="Times New Roman" w:hAnsi="Times New Roman"/>
          <w:sz w:val="24"/>
        </w:rPr>
        <w:t xml:space="preserve"> related to such Asset Notice shall not be affected or terminated by such notice.    Neither Subscriber nor the Trust shall be obligated to agree to any extension of the Termination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(g)</w:t>
        <w:tab/>
      </w:r>
      <w:r>
        <w:rPr>
          <w:rFonts w:ascii="Times New Roman" w:hAnsi="Times New Roman"/>
          <w:i/>
          <w:sz w:val="24"/>
          <w:u w:val="single"/>
        </w:rPr>
        <w:t>Limitations on Borrowings by Trust</w:t>
      </w:r>
      <w:r>
        <w:rPr>
          <w:rFonts w:ascii="Times New Roman" w:hAnsi="Times New Roman"/>
          <w:sz w:val="24"/>
        </w:rPr>
        <w:t>.    The Trust shall not make any borrowing under the Facility Agreement unless Subscriber purchases the Series Certificate described in the related Asset Notice.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2.</w:t>
        <w:tab/>
      </w:r>
      <w:r>
        <w:rPr>
          <w:rFonts w:ascii="Times New Roman" w:hAnsi="Times New Roman"/>
          <w:b/>
          <w:sz w:val="24"/>
        </w:rPr>
        <w:t xml:space="preserve">Investor Representations and Warranties.    </w:t>
      </w:r>
      <w:r>
        <w:rPr>
          <w:rFonts w:ascii="Times New Roman" w:hAnsi="Times New Roman"/>
          <w:sz w:val="24"/>
        </w:rPr>
        <w:t>Subscriber hereby acknowledges, represents and warrants to, and agrees with, the Trust as follows, both as of now and as of the relevant Drawdown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w:t>
        <w:tab/>
      </w:r>
      <w:r>
        <w:rPr>
          <w:rFonts w:ascii="Times New Roman" w:hAnsi="Times New Roman"/>
          <w:i/>
          <w:sz w:val="24"/>
          <w:u w:val="single"/>
        </w:rPr>
        <w:t>Authorization</w:t>
      </w:r>
      <w:r>
        <w:rPr>
          <w:rFonts w:ascii="Times New Roman" w:hAnsi="Times New Roman"/>
          <w:sz w:val="24"/>
        </w:rPr>
        <w:t>.    This Subscription Agreement is a valid and legally binding obligation of Subscriber, enforceable in accordance with its terms except as affected by (i) bankruptcy law and (ii) equitable principles.    Subscriber represents that Subscriber has full power and authority to enter into this Subscription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(b)</w:t>
        <w:tab/>
      </w:r>
      <w:r>
        <w:rPr>
          <w:rFonts w:ascii="Times New Roman" w:hAnsi="Times New Roman"/>
          <w:i/>
          <w:sz w:val="24"/>
          <w:u w:val="single"/>
        </w:rPr>
        <w:t>No Advertisement or Solicitation</w:t>
      </w:r>
      <w:r>
        <w:rPr>
          <w:rFonts w:ascii="Times New Roman" w:hAnsi="Times New Roman"/>
          <w:sz w:val="24"/>
        </w:rPr>
        <w:t>.    Subscriber acknowledges that the offer and issuance of the Certificates to Subscriber has not been accomplished by any form of general solicitation or general advertising, including, but not limited to, (i) any advertisement, article, notice or other communication published in any newspaper, magazine or similar media, or broadcast over television or radio, and (ii) any seminar or meeting whose attendees have been invited by any general solicitation or general advertising.</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(c)</w:t>
        <w:tab/>
      </w:r>
      <w:r>
        <w:rPr>
          <w:rFonts w:ascii="Times New Roman" w:hAnsi="Times New Roman"/>
          <w:i/>
          <w:sz w:val="24"/>
          <w:u w:val="single"/>
        </w:rPr>
        <w:t>Restrictions on Transfer</w:t>
      </w:r>
      <w:r>
        <w:rPr>
          <w:rFonts w:ascii="Times New Roman" w:hAnsi="Times New Roman"/>
          <w:sz w:val="24"/>
        </w:rPr>
        <w: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Subscriber understands and acknowledges that the Certificates, when issued, will not have been registered under the federal Securities Act of 1933, as amended (the “Securities Act”), by reason of a specific exemption from the registration provisions thereof, and that such exemption depends upon, among other things, the bona fide nature of Subscriber’s investment intent as expressed in this Agreement, and the other representations of Subscriber set forth herein.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Subscriber understands and acknowledges that the Certificates must be held indefinitely unless they are subsequently registered under the Securities Act or are exempt from such registration.    Accordingly, Subscriber understands and acknowledges that Subscriber may bear the economic risks of the investment in Certificates for an indefinite period of time.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Subscriber understands and acknowledges that any issuance, transfer or other disposition of the Certificates by Subscriber is further restricted by the provisions of this Agreement and the Trust Agreement and any person acquiring a Certificate must have executed a Form of Investment Letter in the form attached hereto as Exhibit C.    Subscriber has reviewed the Form of Investment Letter attached hereto as Exhibit C and Subscriber satisfies each of the requirements of a purchaser of Certificates set forth in the Investment Letter as if incorporated in full and set forth in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Subscriber is aware of the provisions of Rule 144 under the Securities Act, which permits limited public reissuances of securities acquired in a nonpublic offering (like this one), subject to certain conditions.    Subscriber understands that these conditions include, among other things: the existence of a public market for the securities; the availability of certain current public information about the issuer, the reissuance occurring at least two years after the party has purchased and paid for the securities to be sold; the issuance being made through a broker in an unsolicited “broker’s transaction”; and the amount of securities being sold during any three-month period not exceeding certain limitations.    In this connection, Subscriber understands that it is unlikely Subscriber would ever be able to publicly sell the Certificates under Rule 144, because among other things the Securities and Exchange Commission has expressed its opinion that persons proposing to sell restricted securities received in a nonpublic offering like this one will have a substantial burden of proof in meeting the conditions outlined above, and that such persons and the brokers who participate in the transactions do so at their own risk.</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(d)</w:t>
        <w:tab/>
      </w:r>
      <w:r>
        <w:rPr>
          <w:rFonts w:ascii="Times New Roman" w:hAnsi="Times New Roman"/>
          <w:i/>
          <w:sz w:val="24"/>
          <w:u w:val="single"/>
        </w:rPr>
        <w:t>Disclosure of Information</w:t>
      </w:r>
      <w:r>
        <w:rPr>
          <w:rFonts w:ascii="Times New Roman" w:hAnsi="Times New Roman"/>
          <w:sz w:val="24"/>
        </w:rPr>
        <w:t>.</w:t>
      </w:r>
      <w:r>
        <w:rPr>
          <w:rFonts w:ascii="Times New Roman" w:hAnsi="Times New Roman"/>
          <w:b/>
          <w:sz w:val="24"/>
        </w:rPr>
        <w:t xml:space="preserve">    </w:t>
      </w:r>
      <w:r>
        <w:rPr>
          <w:rFonts w:ascii="Times New Roman" w:hAnsi="Times New Roman"/>
          <w:sz w:val="24"/>
        </w:rPr>
        <w:t>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has been furnished any documents, including, but not limited to, the documents set forth on Exhibit D, which may have been made available upon request, has carefully read such documents, and understands and has evaluated the risks of an acquisition of the Certificates, and has relied solely, (except as indicated in subsections (ii) and (iii) below) on the information contained in such documents;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 xml:space="preserve"> has    been provided an opportunity to obtain any additional information requested concerning the Certificates and the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has been given the opportunity to ask questions of, and receive answers from the Trust concerning the terms and conditions of this subscription, the Trust Agreement    and other matters pertaining to this investment;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has been given the opportunity to obtain additional information necessary to verify the accuracy of the information provided, in order for Subscriber to evaluate the merits and risks of an investment in the Trust, and has not been furnished any other offering literature or prospectus with respect to this transaction, except as mentioned herein;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w:t>
        <w:tab/>
        <w:t>has determined that the Certificates are a suitable investment for Subscriber, and that at this time Subscriber could bear a complete loss of the investment.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(e)</w:t>
        <w:tab/>
      </w:r>
      <w:r>
        <w:rPr>
          <w:rFonts w:ascii="Times New Roman" w:hAnsi="Times New Roman"/>
          <w:i/>
          <w:sz w:val="24"/>
          <w:u w:val="single"/>
        </w:rPr>
        <w:t>Investment Experience</w:t>
      </w:r>
      <w:r>
        <w:rPr>
          <w:rFonts w:ascii="Times New Roman" w:hAnsi="Times New Roman"/>
          <w:sz w:val="24"/>
        </w:rPr>
        <w:t>.    Subscriber represents and acknowledges that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has such knowledge and experience in financial and business matters as to be capable of (i) evaluating the merits and risks of an investment in the Certificates and (ii) protecting Subscriber’s own interests in connection with the investment;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has obtained, in the judgment of Subscriber alone, sufficient information from the Trust to evaluate the merits and risks of an investment in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has the financial ability to bear the economic risk of Subscriber’s investment in the Trust (including Subscriber’s possible loss), has adequate means of providing for Subscriber’s current needs and personal contingencies and has no need for liquidity with respect to the investment in the Trust;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has not been organized solely for the purpose of acquiring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(f)</w:t>
        <w:tab/>
      </w:r>
      <w:r>
        <w:rPr>
          <w:rFonts w:ascii="Times New Roman" w:hAnsi="Times New Roman"/>
          <w:i/>
          <w:sz w:val="24"/>
          <w:u w:val="single"/>
        </w:rPr>
        <w:t>Purchase Entirely for Own Account</w:t>
      </w:r>
      <w:r>
        <w:rPr>
          <w:rFonts w:ascii="Times New Roman" w:hAnsi="Times New Roman"/>
          <w:sz w:val="24"/>
        </w:rPr>
        <w:t>.    The Trust is relying on Subscriber’s    representation to the Trust, which Subscriber hereby confirms by signing this Agreement, that: (i) the Certificates to be received by Subscriber will be acquired for investment for Subscriber’s own account, not as a nominee or agent, and not with a view to the reissuance or distribution of any part thereof and (ii) Subscriber has no present intention of selling, granting any participation in, or otherwise distributing the Certificates except as allowed under Section 2(g) below.    By executing this Agreement, subscriber further represents that Subscriber does not have any understanding with any person to sell, transfer or grant participations to such person or to any third person, with respect to any of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(g)</w:t>
        <w:tab/>
      </w:r>
      <w:r>
        <w:rPr>
          <w:rFonts w:ascii="Times New Roman" w:hAnsi="Times New Roman"/>
          <w:i/>
          <w:sz w:val="24"/>
          <w:u w:val="single"/>
        </w:rPr>
        <w:t>Further Limitations on Disposition</w:t>
      </w:r>
      <w:r>
        <w:rPr>
          <w:rFonts w:ascii="Times New Roman" w:hAnsi="Times New Roman"/>
          <w:sz w:val="24"/>
        </w:rPr>
        <w:t>.    Without in any way limiting the representations set forth above, Subscriber further agrees not to make any disposition of all or any portion of the Certificates unless and until:</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There is then in effect a registration statement under the Securities Act covering such proposed disposition and such disposition is made in accordance with such registration statement; or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(ii)    (A) Subscriber has notified the Trust of the proposed disposition including a detailed statement of the circumstances thereof, and (B) if requested by the Trust, Subscriber has furnished the Trust with an opinion of counsel, reasonably satisfactory to the Trust and its counsel, that such disposition will not require registration of such securities under the Securities Act.</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(h)</w:t>
        <w:tab/>
      </w:r>
      <w:r>
        <w:rPr>
          <w:rFonts w:ascii="Times New Roman" w:hAnsi="Times New Roman"/>
          <w:i/>
          <w:sz w:val="24"/>
          <w:u w:val="single"/>
        </w:rPr>
        <w:t>Investor Awareness</w:t>
      </w:r>
      <w:r>
        <w:rPr>
          <w:rFonts w:ascii="Times New Roman" w:hAnsi="Times New Roman"/>
          <w:sz w:val="24"/>
        </w:rPr>
        <w:t>.    Subscriber acknowledges, represents, agrees and is aware that:</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w:t>
        <w:tab/>
        <w:t>no federal or state agency has passed upon the Certificates or made any finding or determination as to the fairness of this investment;</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w:t>
        <w:tab/>
        <w:t>there are substantial risks of loss or even total loss of investment incidental to the purchase of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(iii)</w:t>
        <w:tab/>
        <w:t>the Certificates are an illiquid investment, and Subscriber must bear the economic risk of investment in the Certificates for an indefinite period of time;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(iv)</w:t>
        <w:tab/>
        <w:t>the Trust Agreement contains substantial restrictions on transferability of the Certificates, and Subscriber has received from its advisors such economic and tax advice as necessary for making an informed decision with respect to acquiring the Certificates;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w:t>
        <w:tab/>
        <w:t>neither the Trust nor any of its affiliates or representatives has provided Subscriber with any investment, tax, legal, regulatory or accounting advice with respect to the investment in or ownership of Certificates; and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(vi)</w:t>
        <w:tab/>
        <w:t>the representations, warranties, agreements, undertakings and acknowledgments made by Subscriber in this Agreement (including without limitation the exhibits hereto) are made with the intent that they be relied upon by the Trust in determining Subscriber’s suitability as an acquirer of the Certificates, and shall survive Subscriber’s admission as a Certificate Holder in the Trust.</w:t>
      </w:r>
    </w:p>
    <w:p>
      <w:pPr>
        <w:pStyle w:val="Normal"/>
        <w:keepNext w:val="true"/>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both"/>
        <w:rPr>
          <w:rFonts w:ascii="Times New Roman" w:hAnsi="Times New Roman"/>
          <w:sz w:val="24"/>
        </w:rPr>
      </w:pPr>
      <w:r>
        <w:rPr>
          <w:rFonts w:ascii="Times New Roman" w:hAnsi="Times New Roman"/>
          <w:sz w:val="24"/>
        </w:rPr>
        <w:t xml:space="preserve">Each representation and warranty made (whether on the date hereof or as of any Drawdown Date) by the Subscriber (whether herein, in the Investment Letter or in any other subscription document delivered pursuant to this Agreement) shall be deemed to be made based upon the law, rules and regulations (including, without limitation, the Securities Act and the rules and regulations thereunder) as they existed on November </w:t>
      </w:r>
      <w:ins w:id="14" w:author="">
        <w:r>
          <w:rPr>
            <w:rFonts w:ascii="Times New Roman" w:hAnsi="Times New Roman"/>
            <w:strike/>
            <w:sz w:val="24"/>
          </w:rPr>
          <w:t>17</w:t>
        </w:r>
      </w:ins>
      <w:r>
        <w:rPr>
          <w:rFonts w:ascii="Times New Roman" w:hAnsi="Times New Roman"/>
          <w:sz w:val="24"/>
        </w:rPr>
        <w:t xml:space="preserve"> </w:t>
      </w:r>
      <w:ins w:id="15" w:author="">
        <w:r>
          <w:rPr>
            <w:rFonts w:ascii="Times New Roman" w:hAnsi="Times New Roman"/>
            <w:b/>
            <w:sz w:val="24"/>
            <w:u w:val="double"/>
          </w:rPr>
          <w:t>20</w:t>
        </w:r>
      </w:ins>
      <w:r>
        <w:rPr>
          <w:rFonts w:ascii="Times New Roman" w:hAnsi="Times New Roman"/>
          <w:sz w:val="24"/>
        </w:rPr>
        <w:t xml:space="preserve">, 2000.    Notwithstanding any other provision of this Agreement, in the event that after November </w:t>
      </w:r>
      <w:ins w:id="16" w:author="">
        <w:r>
          <w:rPr>
            <w:rFonts w:ascii="Times New Roman" w:hAnsi="Times New Roman"/>
            <w:strike/>
            <w:sz w:val="24"/>
          </w:rPr>
          <w:t>17</w:t>
        </w:r>
      </w:ins>
      <w:r>
        <w:rPr>
          <w:rFonts w:ascii="Times New Roman" w:hAnsi="Times New Roman"/>
          <w:sz w:val="24"/>
        </w:rPr>
        <w:t xml:space="preserve"> </w:t>
      </w:r>
      <w:ins w:id="17" w:author="">
        <w:r>
          <w:rPr>
            <w:rFonts w:ascii="Times New Roman" w:hAnsi="Times New Roman"/>
            <w:b/>
            <w:sz w:val="24"/>
            <w:u w:val="double"/>
          </w:rPr>
          <w:t>20</w:t>
        </w:r>
      </w:ins>
      <w:r>
        <w:rPr>
          <w:rFonts w:ascii="Times New Roman" w:hAnsi="Times New Roman"/>
          <w:sz w:val="24"/>
        </w:rPr>
        <w:t>, 2000 there is any change in, or adoption of any new, law, rule or regulation, or any change in judicial or regulatory interpretation or application of any law, rule or regulation, in each case which would cause any representation or warranty of Subscriber to be untrue as of the date such representation or warranty is made or is deemed to be made, then Subscriber shall have the right in its discretion either to (i) decline to purchase the applicable Series Certificate (in which case Subscriber shall be released from its obligation to purchase such Series Certificate) or (ii) modify such representation and warranty to the extent necessary to cause the Subscriber not to breach such representation and warranty; provided that in the case of (ii), the Trust shall have the right to elect not to issue the applicable Series Certificate to Subscriber, whereupon the Subscriber shall be released from the obligation to purchase the applicable Series Certificate.</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3.</w:t>
        <w:tab/>
      </w:r>
      <w:r>
        <w:rPr>
          <w:rFonts w:ascii="Times New Roman" w:hAnsi="Times New Roman"/>
          <w:b/>
          <w:sz w:val="24"/>
        </w:rPr>
        <w:t>Representations and Warranties by Trust</w:t>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Lines/>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The Trust represents and warrants to Subscriber on the date hereof and for each Relevant Drawdown Date: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w:t>
        <w:tab/>
        <w:t>The Trust has been duly established and constitutes a validly existing business trust under the laws of the State of Delaware with full power to conduct its business as an owner trust as described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t>Upon the issuance of a Series Certificate fully paid in accordance with this Agreement, each such Series Certificate will constitute a validly issued, fully-paid Series Certificate of the Trust and will have the rights attributable thereto as set forth in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(c)</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(d)</w:t>
        <w:tab/>
        <w:t>There are no legal or governmental proceedings pending to which the Trust is a party or to which any of the Trust Property at the date hereof is subject.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(e)</w:t>
        <w:tab/>
        <w:t>To the best knowledge of the Trust, this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4.</w:t>
        <w:tab/>
      </w:r>
      <w:r>
        <w:rPr>
          <w:rFonts w:ascii="Times New Roman" w:hAnsi="Times New Roman"/>
          <w:b/>
          <w:sz w:val="24"/>
        </w:rPr>
        <w:t>Miscellaneous</w:t>
      </w:r>
    </w:p>
    <w:p>
      <w:pPr>
        <w:pStyle w:val="Normal"/>
        <w:keepNext w:val="true"/>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w:t>
        <w:tab/>
      </w:r>
      <w:r>
        <w:rPr>
          <w:rFonts w:ascii="Times New Roman" w:hAnsi="Times New Roman"/>
          <w:i/>
          <w:sz w:val="24"/>
          <w:u w:val="single"/>
        </w:rPr>
        <w:t>Modification</w:t>
      </w:r>
      <w:r>
        <w:rPr>
          <w:rFonts w:ascii="Times New Roman" w:hAnsi="Times New Roman"/>
          <w:sz w:val="24"/>
        </w:rPr>
        <w:t>.    Neither this Agreement nor any provisions hereof shall be waived, modified, discharged or terminated except by a written instrument signed by both the Trust and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(b)</w:t>
        <w:tab/>
      </w:r>
      <w:r>
        <w:rPr>
          <w:rFonts w:ascii="Times New Roman" w:hAnsi="Times New Roman"/>
          <w:i/>
          <w:sz w:val="24"/>
          <w:u w:val="single"/>
        </w:rPr>
        <w:t>Notices</w:t>
      </w:r>
      <w:r>
        <w:rPr>
          <w:rFonts w:ascii="Times New Roman" w:hAnsi="Times New Roman"/>
          <w:sz w:val="24"/>
        </w:rPr>
        <w:t>.    All communications given hereunder shall be deemed to have been given and received (i) upon personal delivery, (ii) in the case of mailing by registered or certified mail, return receipt requested, as of the date shown on the return receipt, or (iii) the second succeeding business day after deposit with Federal Express or other equivalent air courier delivery service.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(c)</w:t>
        <w:tab/>
      </w:r>
      <w:r>
        <w:rPr>
          <w:rFonts w:ascii="Times New Roman" w:hAnsi="Times New Roman"/>
          <w:i/>
          <w:sz w:val="24"/>
          <w:u w:val="single"/>
        </w:rPr>
        <w:t>Binding Effect</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 Except as otherwise provided herein, this Agreement shall be binding upon and inure to the benefit of the parties and their heirs, executors, administrators, successors, legal representatives and permitted assigns.    If Subscriber is more than one person, the obligation of Subscriber shall be joint and several and the agreements, representations, warranties and acknowledgments herein contained shall be deemed to be made by and be binding upon each such person and his or her heirs, executors, administrators and successors.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(d)</w:t>
        <w:tab/>
      </w:r>
      <w:r>
        <w:rPr>
          <w:rFonts w:ascii="Times New Roman" w:hAnsi="Times New Roman"/>
          <w:i/>
          <w:sz w:val="24"/>
          <w:u w:val="single"/>
        </w:rPr>
        <w:t>Entire Agreement</w:t>
      </w:r>
      <w:r>
        <w:rPr>
          <w:rFonts w:ascii="Times New Roman" w:hAnsi="Times New Roman"/>
          <w:sz w:val="24"/>
        </w:rPr>
        <w:t>.    This Agreement together with the Trust Agreement and the agreements and document referred to therein contain the entire agreement of the parties with respect to this subscription, and there are no representations, covenants or other agreements except as stated or referred to herein or therein.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(e)</w:t>
        <w:tab/>
      </w:r>
      <w:r>
        <w:rPr>
          <w:rFonts w:ascii="Times New Roman" w:hAnsi="Times New Roman"/>
          <w:i/>
          <w:sz w:val="24"/>
          <w:u w:val="single"/>
        </w:rPr>
        <w:t>Assignability</w:t>
      </w:r>
      <w:r>
        <w:rPr>
          <w:rFonts w:ascii="Times New Roman" w:hAnsi="Times New Roman"/>
          <w:sz w:val="24"/>
        </w:rPr>
        <w:t>.    This Agreement is not transferable or assignable by Subscriber other than to, or to any Person controlled by, Canadian Imperial Bank of Commerce.    Transfer and assignment of Certificates shall be governed by the Trust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(f)</w:t>
        <w:tab/>
      </w:r>
      <w:r>
        <w:rPr>
          <w:rFonts w:ascii="Times New Roman" w:hAnsi="Times New Roman"/>
          <w:i/>
          <w:sz w:val="24"/>
          <w:u w:val="single"/>
        </w:rPr>
        <w:t>Applicable Law</w:t>
      </w:r>
      <w:r>
        <w:rPr>
          <w:rFonts w:ascii="Times New Roman" w:hAnsi="Times New Roman"/>
          <w:sz w:val="24"/>
        </w:rPr>
        <w:t>.</w:t>
      </w:r>
      <w:r>
        <w:rPr>
          <w:rFonts w:ascii="Times New Roman" w:hAnsi="Times New Roman"/>
          <w:b/>
          <w:sz w:val="24"/>
        </w:rPr>
        <w:t xml:space="preserve"> </w:t>
      </w:r>
      <w:r>
        <w:rPr>
          <w:rFonts w:ascii="Times New Roman" w:hAnsi="Times New Roman"/>
          <w:sz w:val="24"/>
        </w:rPr>
        <w:t xml:space="preserve"> This Agreement shall be governed by and, construed in accordance with the laws of the State of New York.</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(g)</w:t>
        <w:tab/>
      </w:r>
      <w:r>
        <w:rPr>
          <w:rFonts w:ascii="Times New Roman" w:hAnsi="Times New Roman"/>
          <w:i/>
          <w:sz w:val="24"/>
          <w:u w:val="single"/>
        </w:rPr>
        <w:t>Counterparts</w:t>
      </w:r>
      <w:r>
        <w:rPr>
          <w:rFonts w:ascii="Times New Roman" w:hAnsi="Times New Roman"/>
          <w:sz w:val="24"/>
        </w:rPr>
        <w:t>.    This Agreement may be executed through the use of separate signature pages or in counterparts, and each of such counterparts shall, for all purposes, constitute one agreement binding on the parties hereto, notwithstanding that the parties hereto are not signatories to the same counterpart.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(h)</w:t>
        <w:tab/>
      </w:r>
      <w:r>
        <w:rPr>
          <w:rFonts w:ascii="Times New Roman" w:hAnsi="Times New Roman"/>
          <w:i/>
          <w:sz w:val="24"/>
          <w:u w:val="single"/>
        </w:rPr>
        <w:t>Further Assurances</w:t>
      </w:r>
      <w:r>
        <w:rPr>
          <w:rFonts w:ascii="Times New Roman" w:hAnsi="Times New Roman"/>
          <w:sz w:val="24"/>
        </w:rPr>
        <w:t>.    Subscriber and the Trust will, from time to time, execute and deliver to the other all such other and further instruments and documents and take or cause to be taken all such other and further action as such other party may reasonably request in order to effect the transactions contemplated by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Subscriber, desiring to enter into this Agreement for the subscription of the amount of Series Certificates indicated in Section 1(a), hereby agrees to all of the terms and provisions of this Agreement and agrees to be bound by all such terms and provisions.    Subscriber has executed this Agreement as of the date of this Agreement.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b/>
        <w:tab/>
      </w:r>
      <w:r>
        <w:rPr>
          <w:rFonts w:ascii="Times New Roman" w:hAnsi="Times New Roman"/>
          <w:b/>
          <w:sz w:val="24"/>
        </w:rPr>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864" w:bottom="921"/>
          <w:pgNumType w:fmt="decimal"/>
          <w:formProt w:val="false"/>
          <w:textDirection w:val="lrTb"/>
          <w:docGrid w:type="default" w:linePitch="100" w:charSpace="0"/>
        </w:sect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sectPr>
          <w:footerReference w:type="even" r:id="rId14"/>
          <w:footerReference w:type="default" r:id="rId15"/>
          <w:footerReference w:type="first" r:id="rId16"/>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 xml:space="preserve">Agreed and Accepted this </w:t>
      </w:r>
      <w:ins w:id="18" w:author="">
        <w:r>
          <w:rPr>
            <w:rFonts w:ascii="Times New Roman" w:hAnsi="Times New Roman"/>
            <w:strike/>
            <w:sz w:val="24"/>
          </w:rPr>
          <w:t>17th</w:t>
        </w:r>
      </w:ins>
      <w:r>
        <w:rPr>
          <w:rFonts w:ascii="Times New Roman" w:hAnsi="Times New Roman"/>
          <w:sz w:val="24"/>
        </w:rPr>
        <w:t xml:space="preserve"> </w:t>
      </w:r>
      <w:ins w:id="19" w:author="">
        <w:r>
          <w:rPr>
            <w:rFonts w:ascii="Times New Roman" w:hAnsi="Times New Roman"/>
            <w:b/>
            <w:sz w:val="24"/>
            <w:u w:val="double"/>
          </w:rPr>
          <w:t>20th</w:t>
        </w:r>
      </w:ins>
      <w:r>
        <w:rPr>
          <w:rFonts w:ascii="Times New Roman" w:hAnsi="Times New Roman"/>
          <w:sz w:val="24"/>
        </w:rPr>
        <w:t xml:space="preserve"> day of November, 2000</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b/>
          <w:sz w:val="24"/>
        </w:rPr>
        <w:t>HAWAII II 125-0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 Delaware business trust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 xml:space="preserve">By:    </w:t>
        <w:tab/>
        <w:t xml:space="preserve">WILMINGTON TRUST COMPANY, </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not in its individual capacity, but solely as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Trustee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0" w:start="576"/>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t>EXHIBIT A</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t>INVESTOR INFORMATION SHEET</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b/>
          <w:i/>
          <w:i/>
          <w:sz w:val="24"/>
        </w:rPr>
      </w:pPr>
      <w:r>
        <w:rPr>
          <w:rFonts w:ascii="Times New Roman" w:hAnsi="Times New Roman"/>
          <w:b/>
          <w:i/>
          <w:sz w:val="24"/>
        </w:rPr>
        <w:t>Instructions:    Please print or type and complete fully.    If additional space is needed for the response to any item, attach a rider identifying the item to which the response is being made.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GENERAL INFORMATION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Name of Subscriber:</w:t>
        <w:tab/>
        <w:tab/>
        <w:tab/>
        <w:tab/>
        <w:t>CIBC Inc.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Tax I.D. Number (if an entity):</w:t>
        <w:tab/>
        <w:tab/>
        <w:t>581760354</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Date of Formation of Entity:</w:t>
        <w:tab/>
        <w:tab/>
        <w:tab/>
        <w:t>June 11, 1987</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State of Formation of Entity:</w:t>
        <w:tab/>
        <w:tab/>
        <w:tab/>
        <w:t>Delaware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Telephone Number:</w:t>
        <w:tab/>
        <w:tab/>
        <w:tab/>
        <w:tab/>
        <w:t>(212) 856-3711</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Principal Business Address</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4320" w:start="4320"/>
        <w:jc w:val="both"/>
        <w:rPr>
          <w:rFonts w:ascii="Times New Roman" w:hAnsi="Times New Roman"/>
          <w:sz w:val="24"/>
        </w:rPr>
      </w:pPr>
      <w:r>
        <w:rPr>
          <w:rFonts w:ascii="Times New Roman" w:hAnsi="Times New Roman"/>
          <w:sz w:val="24"/>
        </w:rPr>
        <w:t>and Mailing Address:</w:t>
        <w:tab/>
        <w:tab/>
        <w:tab/>
        <w:tab/>
        <w:t>CIBC</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ind w:hanging="3600" w:start="3600"/>
        <w:jc w:val="both"/>
        <w:rPr>
          <w:rFonts w:ascii="Times New Roman" w:hAnsi="Times New Roman"/>
          <w:sz w:val="24"/>
        </w:rPr>
      </w:pPr>
      <w:r>
        <w:rPr>
          <w:rFonts w:ascii="Times New Roman" w:hAnsi="Times New Roman"/>
          <w:sz w:val="24"/>
        </w:rPr>
        <w:tab/>
        <w:tab/>
        <w:tab/>
        <w:tab/>
        <w:tab/>
        <w:t>425 Lexington Avenue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tab/>
        <w:tab/>
        <w:tab/>
        <w:tab/>
        <w:tab/>
        <w:tab/>
        <w:tab/>
        <w:t>New York, New York    10017</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both"/>
        <w:rPr>
          <w:rFonts w:ascii="Times New Roman" w:hAnsi="Times New Roman"/>
          <w:sz w:val="24"/>
        </w:rPr>
      </w:pPr>
      <w:r>
        <w:rPr>
          <w:rFonts w:ascii="Times New Roman" w:hAnsi="Times New Roman"/>
          <w:sz w:val="24"/>
        </w:rPr>
      </w:r>
    </w:p>
    <w:p>
      <w:pPr>
        <w:sectPr>
          <w:footerReference w:type="even" r:id="rId17"/>
          <w:footerReference w:type="default" r:id="rId18"/>
          <w:footerReference w:type="first" r:id="rId19"/>
          <w:type w:val="nextPage"/>
          <w:pgSz w:w="12240" w:h="15840"/>
          <w:pgMar w:left="1440" w:right="1440" w:gutter="0" w:header="0" w:top="1440" w:footer="864" w:bottom="921"/>
          <w:pgNumType w:start="1" w:fmt="decimal"/>
          <w:formProt w:val="false"/>
          <w:textDirection w:val="lrTb"/>
          <w:docGrid w:type="default" w:linePitch="100" w:charSpace="0"/>
        </w:sect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spacing w:before="0" w:after="0"/>
        <w:jc w:val="both"/>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b/>
          <w:sz w:val="24"/>
        </w:rPr>
      </w:pPr>
      <w:r>
        <w:rPr>
          <w:rFonts w:ascii="Times New Roman" w:hAnsi="Times New Roman"/>
          <w:b/>
          <w:sz w:val="24"/>
        </w:rPr>
        <w:t>EXHIBIT B</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center"/>
        <w:rPr>
          <w:rFonts w:ascii="Times New Roman" w:hAnsi="Times New Roman"/>
          <w:sz w:val="24"/>
        </w:rPr>
      </w:pPr>
      <w:r>
        <w:rPr>
          <w:rFonts w:ascii="Times New Roman" w:hAnsi="Times New Roman"/>
          <w:b/>
          <w:sz w:val="24"/>
        </w:rPr>
        <w:t>ACCREDITED INVESTOR QUESTIONNAIRE</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 xml:space="preserve">Capitalized terms used and not otherwise defined herein have the meanings set forth in the Subscription Agreement dated as of November </w:t>
      </w:r>
      <w:ins w:id="20" w:author="">
        <w:r>
          <w:rPr>
            <w:rFonts w:ascii="Times New Roman" w:hAnsi="Times New Roman"/>
            <w:strike/>
            <w:sz w:val="24"/>
          </w:rPr>
          <w:t>17</w:t>
        </w:r>
      </w:ins>
      <w:r>
        <w:rPr>
          <w:rFonts w:ascii="Times New Roman" w:hAnsi="Times New Roman"/>
          <w:sz w:val="24"/>
        </w:rPr>
        <w:t xml:space="preserve"> </w:t>
      </w:r>
      <w:ins w:id="21" w:author="">
        <w:r>
          <w:rPr>
            <w:rFonts w:ascii="Times New Roman" w:hAnsi="Times New Roman"/>
            <w:b/>
            <w:sz w:val="24"/>
            <w:u w:val="double"/>
          </w:rPr>
          <w:t>20</w:t>
        </w:r>
      </w:ins>
      <w:r>
        <w:rPr>
          <w:rFonts w:ascii="Times New Roman" w:hAnsi="Times New Roman"/>
          <w:sz w:val="24"/>
        </w:rPr>
        <w:t>, 2000, to which this Exhibit B is attached.</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b/>
          <w:sz w:val="24"/>
        </w:rPr>
        <w:t>I.</w:t>
        <w:tab/>
        <w:t>INFORMATION TO DETERMINE QUALIFICATION.</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b/>
          <w:i/>
          <w:sz w:val="24"/>
        </w:rPr>
        <w:t>Please put a check or other mark in each space which applies to you (“Subscriber”):</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tab/>
        <w:t>Subscriber is an “Accredited Investor,” based upon the following (check all that apply):</w:t>
      </w:r>
    </w:p>
    <w:p>
      <w:pPr>
        <w:pStyle w:val="Normal"/>
        <w:tabs>
          <w:tab w:val="left" w:pos="0" w:leader="none"/>
          <w:tab w:val="left" w:pos="57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 w:val="left" w:pos="19440" w:leader="none"/>
          <w:tab w:val="left" w:pos="20160" w:leader="none"/>
          <w:tab w:val="left" w:pos="20880" w:leader="none"/>
          <w:tab w:val="left" w:pos="21600" w:leader="none"/>
          <w:tab w:val="left" w:pos="22320" w:leader="none"/>
          <w:tab w:val="left" w:pos="23040" w:leader="none"/>
          <w:tab w:val="left" w:pos="23760" w:leader="none"/>
          <w:tab w:val="left" w:pos="24480" w:leader="none"/>
          <w:tab w:val="left" w:pos="25200" w:leader="none"/>
          <w:tab w:val="left" w:pos="25920" w:leader="none"/>
          <w:tab w:val="left" w:pos="26640" w:leader="none"/>
        </w:tabs>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1.    </w:t>
      </w:r>
      <w:r>
        <w:rPr>
          <w:rFonts w:ascii="Times New Roman" w:hAnsi="Times New Roman"/>
          <w:sz w:val="24"/>
          <w:u w:val="single"/>
        </w:rPr>
        <w:tab/>
      </w:r>
      <w:r>
        <w:rPr>
          <w:rFonts w:ascii="Times New Roman" w:hAnsi="Times New Roman"/>
          <w:sz w:val="24"/>
        </w:rPr>
        <w:t>    Subscriber is a natural person whose individual net worth, or joint net worth with his or her spouse, exceeds $1,000,000 at the time of acquisition of Certificates;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2.    </w:t>
      </w:r>
      <w:r>
        <w:rPr>
          <w:rFonts w:ascii="Times New Roman" w:hAnsi="Times New Roman"/>
          <w:sz w:val="24"/>
          <w:u w:val="single"/>
        </w:rPr>
        <w:tab/>
      </w:r>
      <w:r>
        <w:rPr>
          <w:rFonts w:ascii="Times New Roman" w:hAnsi="Times New Roman"/>
          <w:sz w:val="24"/>
        </w:rPr>
        <w:t>    Subscriber is a natural person who had an individual income in excess of $200,000 in each of the two most recent years, or joint income with Subscriber’s spouse in excess of $300,000 in each of those years, and reasonably expects to reach the same income level in the current year;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3.    </w:t>
      </w:r>
      <w:r>
        <w:rPr>
          <w:rFonts w:ascii="Times New Roman" w:hAnsi="Times New Roman"/>
          <w:sz w:val="24"/>
          <w:u w:val="single"/>
        </w:rPr>
        <w:tab/>
      </w:r>
      <w:r>
        <w:rPr>
          <w:rFonts w:ascii="Times New Roman" w:hAnsi="Times New Roman"/>
          <w:sz w:val="24"/>
        </w:rPr>
        <w:t>    Subscriber is either (a) a bank as defined in section 3(a)(2) of the Securities Act, or a savings and loan association or other institution as defined in section 3(a)(5)(A) of the Securities Act, whether acting in its individual or fiduciary capacity; (b) a broker or dealer registered pursuant to section 15 of the Securities Exchange Act of 1934; (c) an insurance company as defined in section 2(13) of the Securities Act; (d) an investment company registered under the Investment Company Act of 1940 or a business development company as defined in section 2(a)(48) of that act; (e) a Small Business Investment Company licensed by the U.S. Small Business Administration under section 301(c) or (d) of the Small Business Investment Act of 1958; or (f) an employee benefit plan within the meaning of the Employee Retirement Income Security Act of 1974, if the investment decision is made by a plan fiduciary, as defined in section 3(21) of such act which is either a bank, savings and loan association, insurance company, or registered investment adviser, or if the employee benefit plan has total assets in excess of $5,000,000 or, if a self-directed plan, with investment decisions made solely by persons that are accredited investors;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4.    </w:t>
      </w:r>
      <w:r>
        <w:rPr>
          <w:rFonts w:ascii="Times New Roman" w:hAnsi="Times New Roman"/>
          <w:sz w:val="24"/>
          <w:u w:val="single"/>
        </w:rPr>
        <w:tab/>
      </w:r>
      <w:r>
        <w:rPr>
          <w:rFonts w:ascii="Times New Roman" w:hAnsi="Times New Roman"/>
          <w:sz w:val="24"/>
        </w:rPr>
        <w:t>    Subscriber is a private business development company as defined in section 202(a)(22) of the Investment Advisors Act of 1940;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5.    </w:t>
      </w:r>
      <w:r>
        <w:rPr>
          <w:rFonts w:ascii="Times New Roman" w:hAnsi="Times New Roman"/>
          <w:sz w:val="24"/>
          <w:u w:val="single"/>
        </w:rPr>
        <w:tab/>
      </w:r>
      <w:r>
        <w:rPr>
          <w:rFonts w:ascii="Times New Roman" w:hAnsi="Times New Roman"/>
          <w:sz w:val="24"/>
        </w:rPr>
        <w:t>    Subscriber is (i) an organization described in section 501(c)(3) of the Internal Revenue Code, (ii) a corporation, (iii) a Massachusetts or similar business trust, or (iv) a partnership, in any case, not formed for the specific purpose of acquiring the Certificates, with total assets in excess of $5,000,000;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6.    </w:t>
      </w:r>
      <w:r>
        <w:rPr>
          <w:rFonts w:ascii="Times New Roman" w:hAnsi="Times New Roman"/>
          <w:sz w:val="24"/>
          <w:u w:val="single"/>
        </w:rPr>
        <w:tab/>
      </w:r>
      <w:r>
        <w:rPr>
          <w:rFonts w:ascii="Times New Roman" w:hAnsi="Times New Roman"/>
          <w:sz w:val="24"/>
        </w:rPr>
        <w:t>    Subscriber is a trust, with total assets in excess of $5,000,000, not formed for the specific purpose of acquiring the Certificates, whose purchase is directed by a sophisticated person as described in Rule 506(b)(2)(ii), promulgated under the Securities Act; or</w:t>
      </w:r>
    </w:p>
    <w:p>
      <w:pPr>
        <w:pStyle w:val="Normal"/>
        <w:bidi w:val="0"/>
        <w:jc w:val="start"/>
        <w:rPr>
          <w:rFonts w:ascii="Times New Roman" w:hAnsi="Times New Roman"/>
          <w:sz w:val="24"/>
        </w:rPr>
      </w:pPr>
      <w:r>
        <w:rPr>
          <w:rFonts w:ascii="Times New Roman" w:hAnsi="Times New Roman"/>
          <w:sz w:val="24"/>
        </w:rPr>
        <w:tab/>
        <w:t xml:space="preserve">7.    </w:t>
      </w:r>
      <w:r>
        <w:rPr>
          <w:rFonts w:ascii="Times New Roman" w:hAnsi="Times New Roman"/>
          <w:sz w:val="24"/>
          <w:u w:val="single"/>
        </w:rPr>
        <w:tab/>
      </w:r>
      <w:r>
        <w:rPr>
          <w:rFonts w:ascii="Times New Roman" w:hAnsi="Times New Roman"/>
          <w:sz w:val="24"/>
        </w:rPr>
        <w:t>    Subscriber is a trust with respect to which the grantor(s) has retained absolute power in his or her sole discretion to amend or revoke the trust at any time and such grantor(s) is an accredited investor as indicated in items 1 or 2 above; or</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8.    </w:t>
      </w:r>
      <w:r>
        <w:rPr>
          <w:rFonts w:ascii="Times New Roman" w:hAnsi="Times New Roman"/>
          <w:sz w:val="24"/>
          <w:u w:val="single"/>
        </w:rPr>
        <w:tab/>
      </w:r>
      <w:r>
        <w:rPr>
          <w:rFonts w:ascii="Times New Roman" w:hAnsi="Times New Roman"/>
          <w:sz w:val="24"/>
        </w:rPr>
        <w:t>    Subscriber is an entity in which all of its equity owners meet one or more of the standards set forth in the preceding paragraphs numbers 1-6.</w:t>
      </w: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b/>
          <w:sz w:val="24"/>
        </w:rPr>
        <w:t>II.</w:t>
        <w:tab/>
        <w:t>CERTAIN REPRESENTATIONS</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jc w:val="start"/>
        <w:rPr>
          <w:rFonts w:ascii="Times New Roman" w:hAnsi="Times New Roman"/>
          <w:sz w:val="24"/>
        </w:rPr>
      </w:pPr>
      <w:r>
        <w:rPr>
          <w:rFonts w:ascii="Times New Roman" w:hAnsi="Times New Roman"/>
          <w:b/>
          <w:i/>
          <w:sz w:val="24"/>
        </w:rPr>
        <w:t>Please read and acknowledge the following by initialing each:</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Subscriber represents that:</w:t>
      </w:r>
    </w:p>
    <w:p>
      <w:pPr>
        <w:pStyle w:val="Normal"/>
        <w:bidi w:val="0"/>
        <w:jc w:val="start"/>
        <w:rPr>
          <w:rFonts w:ascii="Times New Roman" w:hAnsi="Times New Roman"/>
          <w:sz w:val="24"/>
        </w:rPr>
      </w:pPr>
      <w:r>
        <w:rPr>
          <w:rFonts w:ascii="Times New Roman" w:hAnsi="Times New Roman"/>
          <w:sz w:val="24"/>
        </w:rPr>
      </w:r>
    </w:p>
    <w:p>
      <w:pPr>
        <w:pStyle w:val="Normal"/>
        <w:bidi w:val="0"/>
        <w:ind w:hanging="4320" w:start="2160"/>
        <w:jc w:val="start"/>
        <w:rPr>
          <w:rFonts w:ascii="Times New Roman" w:hAnsi="Times New Roman"/>
          <w:sz w:val="24"/>
        </w:rPr>
      </w:pPr>
      <w:r>
        <w:rPr>
          <w:rFonts w:ascii="Times New Roman" w:hAnsi="Times New Roman"/>
          <w:sz w:val="24"/>
          <w:u w:val="single"/>
        </w:rPr>
        <w:tab/>
      </w:r>
      <w:r>
        <w:rPr>
          <w:rFonts w:ascii="Times New Roman" w:hAnsi="Times New Roman"/>
          <w:sz w:val="24"/>
        </w:rPr>
        <w:tab/>
        <w:tab/>
        <w:t>(a)</w:t>
        <w:tab/>
        <w:t>The information supplied by Subscriber herein is complete and accurate and may be relied upon for the purposes of determining exemption status under federal and state securities laws.</w:t>
      </w:r>
    </w:p>
    <w:p>
      <w:pPr>
        <w:pStyle w:val="Normal"/>
        <w:bidi w:val="0"/>
        <w:jc w:val="start"/>
        <w:rPr>
          <w:rFonts w:ascii="Times New Roman" w:hAnsi="Times New Roman"/>
          <w:sz w:val="24"/>
        </w:rPr>
      </w:pPr>
      <w:r>
        <w:rPr>
          <w:rFonts w:ascii="Times New Roman" w:hAnsi="Times New Roman"/>
          <w:sz w:val="24"/>
        </w:rPr>
      </w:r>
    </w:p>
    <w:p>
      <w:pPr>
        <w:pStyle w:val="Normal"/>
        <w:bidi w:val="0"/>
        <w:ind w:hanging="2160" w:start="2160"/>
        <w:jc w:val="start"/>
        <w:rPr>
          <w:rFonts w:ascii="Times New Roman" w:hAnsi="Times New Roman"/>
          <w:sz w:val="24"/>
        </w:rPr>
      </w:pPr>
      <w:r>
        <w:rPr>
          <w:rFonts w:ascii="Times New Roman" w:hAnsi="Times New Roman"/>
          <w:sz w:val="24"/>
          <w:u w:val="single"/>
        </w:rPr>
        <w:tab/>
      </w:r>
      <w:r>
        <w:rPr>
          <w:rFonts w:ascii="Times New Roman" w:hAnsi="Times New Roman"/>
          <w:sz w:val="24"/>
        </w:rPr>
        <w:tab/>
        <w:t>(b)</w:t>
        <w:tab/>
        <w:t>Subscriber will notify the Trust immediately of any material adverse change in any such information occurring prior to the acceptance of his/her/its subscription.</w:t>
      </w:r>
    </w:p>
    <w:p>
      <w:pPr>
        <w:pStyle w:val="Normal"/>
        <w:bidi w:val="0"/>
        <w:jc w:val="start"/>
        <w:rPr>
          <w:rFonts w:ascii="Times New Roman" w:hAnsi="Times New Roman"/>
          <w:sz w:val="24"/>
        </w:rPr>
      </w:pPr>
      <w:r>
        <w:rPr>
          <w:rFonts w:ascii="Times New Roman" w:hAnsi="Times New Roman"/>
          <w:sz w:val="24"/>
        </w:rPr>
      </w:r>
    </w:p>
    <w:p>
      <w:pPr>
        <w:pStyle w:val="Normal"/>
        <w:bidi w:val="0"/>
        <w:ind w:hanging="2160" w:start="2160"/>
        <w:jc w:val="start"/>
        <w:rPr>
          <w:rFonts w:ascii="Times New Roman" w:hAnsi="Times New Roman"/>
          <w:sz w:val="24"/>
        </w:rPr>
      </w:pPr>
      <w:r>
        <w:rPr>
          <w:rFonts w:ascii="Times New Roman" w:hAnsi="Times New Roman"/>
          <w:sz w:val="24"/>
          <w:u w:val="single"/>
        </w:rPr>
        <w:tab/>
      </w:r>
      <w:r>
        <w:rPr>
          <w:rFonts w:ascii="Times New Roman" w:hAnsi="Times New Roman"/>
          <w:sz w:val="24"/>
        </w:rPr>
        <w:tab/>
        <w:t>(c)</w:t>
        <w:tab/>
        <w:t>Subscriber understands that the representations contained herein are made for the purpose of determining whether Subscriber qualifies as an accredited investor under Regulation D. Subscriber hereby represents that the statement or statements initialed and completed below are true ad correct in all respects.</w:t>
      </w:r>
    </w:p>
    <w:p>
      <w:pPr>
        <w:sectPr>
          <w:footerReference w:type="even" r:id="rId20"/>
          <w:footerReference w:type="default" r:id="rId21"/>
          <w:footerReference w:type="first" r:id="rId22"/>
          <w:type w:val="nextPage"/>
          <w:pgSz w:w="12240" w:h="15840"/>
          <w:pgMar w:left="1440" w:right="1440" w:gutter="0" w:header="0" w:top="1440" w:footer="864" w:bottom="921"/>
          <w:pgNumType w:start="1" w:fmt="decimal"/>
          <w:formProt w:val="false"/>
          <w:textDirection w:val="lrTb"/>
          <w:docGrid w:type="default" w:linePitch="100" w:charSpace="0"/>
        </w:sect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23"/>
          <w:footerReference w:type="default" r:id="rId24"/>
          <w:footerReference w:type="first" r:id="rId25"/>
          <w:type w:val="nextPage"/>
          <w:pgSz w:w="12240" w:h="15840"/>
          <w:pgMar w:left="1440" w:right="1440" w:gutter="0" w:header="0" w:top="1440" w:footer="864" w:bottom="921"/>
          <w:pgNumType w:fmt="decimal"/>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IN WITNESS WHEREOF, Subscriber has initialed the foregoing statements and executed this Questionnaire this ____ day of November, 2000.</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r>
      <w:r>
        <w:rPr>
          <w:rFonts w:ascii="Times New Roman" w:hAnsi="Times New Roman"/>
          <w:b/>
          <w:sz w:val="24"/>
        </w:rPr>
        <w:t>CIBC INC.</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Name:</w:t>
        <w:tab/>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Title:</w:t>
        <w:tab/>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EXHIBIT C</w:t>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FORM OF INVESTMENT LETTER</w:t>
      </w:r>
    </w:p>
    <w:p>
      <w:pPr>
        <w:pStyle w:val="Normal"/>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r>
        <w:rPr>
          <w:rFonts w:ascii="Times New Roman" w:hAnsi="Times New Roman"/>
          <w:sz w:val="24"/>
        </w:rPr>
        <w:t>as Certificate Registrar and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r>
        <w:rPr>
          <w:rFonts w:ascii="Times New Roman" w:hAnsi="Times New Roman"/>
          <w:sz w:val="24"/>
        </w:rPr>
        <w:t>for 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1100 North Market Street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Hawaii II 125-O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c/o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Rodney Square North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1100 North Market Street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Wilmington, Delaware 19890-0001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Attention:    Corporate Trust Department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Enron Corp.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c/o Mr. Gareth Bahlmann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1400 Smith Street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Houston, Texas    77002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53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530" w:start="1530"/>
        <w:jc w:val="both"/>
        <w:rPr>
          <w:rFonts w:ascii="Times New Roman" w:hAnsi="Times New Roman"/>
          <w:sz w:val="24"/>
        </w:rPr>
      </w:pPr>
      <w:r>
        <w:rPr>
          <w:rFonts w:ascii="Times New Roman" w:hAnsi="Times New Roman"/>
          <w:sz w:val="24"/>
        </w:rPr>
        <w:t>Re:</w:t>
        <w:tab/>
        <w:t>Series Certificates (the “</w:t>
      </w:r>
      <w:r>
        <w:rPr>
          <w:rFonts w:ascii="Times New Roman" w:hAnsi="Times New Roman"/>
          <w:sz w:val="24"/>
          <w:u w:val="single"/>
        </w:rPr>
        <w:t>Certificates</w:t>
      </w:r>
      <w:r>
        <w:rPr>
          <w:rFonts w:ascii="Times New Roman" w:hAnsi="Times New Roman"/>
          <w:sz w:val="24"/>
        </w:rPr>
        <w:t>”) issued by Hawaii II 125-0 Trust (the “</w:t>
      </w:r>
      <w:r>
        <w:rPr>
          <w:rFonts w:ascii="Times New Roman" w:hAnsi="Times New Roman"/>
          <w:sz w:val="24"/>
          <w:u w:val="single"/>
        </w:rPr>
        <w:t>Issuer</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Ladies and Gentlemen:</w:t>
      </w:r>
    </w:p>
    <w:p>
      <w:pPr>
        <w:pStyle w:val="Normal"/>
        <w:tabs>
          <w:tab w:val="left" w:pos="0" w:leader="none"/>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This certificate is delivered to request [the original issue] [a transfer] of $________________ of Certificate Base Amount.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Upon transfer, the Certificates would be registered in the name of the new beneficial owner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 Name:</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 Address:</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Taxpayer ID Number:</w:t>
      </w:r>
      <w:r>
        <w:rPr>
          <w:rFonts w:ascii="Times New Roman" w:hAnsi="Times New Roman"/>
          <w:sz w:val="24"/>
          <w:u w:val="single"/>
        </w:rPr>
        <w: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 We represent, warrant and agree with you as follows with regard to the Certificates purchased by us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w:t>
        <w:tab/>
        <w:t>We are an “accredited investor” (as defined in Rule 501 under the Securities Act of 1933, as amended (the “</w:t>
      </w:r>
      <w:r>
        <w:rPr>
          <w:rFonts w:ascii="Times New Roman" w:hAnsi="Times New Roman"/>
          <w:sz w:val="24"/>
          <w:u w:val="single"/>
        </w:rPr>
        <w:t>Securities Act</w:t>
      </w:r>
      <w:r>
        <w:rPr>
          <w:rFonts w:ascii="Times New Roman" w:hAnsi="Times New Roman"/>
          <w:sz w:val="24"/>
        </w:rPr>
        <w:t>”) (an “</w:t>
      </w:r>
      <w:r>
        <w:rPr>
          <w:rFonts w:ascii="Times New Roman" w:hAnsi="Times New Roman"/>
          <w:sz w:val="24"/>
          <w:u w:val="single"/>
        </w:rPr>
        <w:t>Accredited Investor</w:t>
      </w:r>
      <w:r>
        <w:rPr>
          <w:rFonts w:ascii="Times New Roman" w:hAnsi="Times New Roman"/>
          <w:sz w:val="24"/>
        </w:rPr>
        <w:t>”)) purchasing for our own account (and not for the account of others) or as a fiduciary or agent for others who are also Accredited Investors, and we are acquiring the Certificates not with a view to, or for offer or sale in connection with, any distribution in violation of the Securities Act.    We have such knowledge and experience in financial and business matters as to be capable of evaluating the merits and risks of our investment in the Certificates and invest in or purchase securities similar to the Certificates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2.</w:t>
        <w:tab/>
        <w:t>We understand that the Certificates have not been registered under the Securities Act and, unless so registered, may not be sold except as permitted in the following sentence.    We agree on our own behalf and on behalf of any investor account for which (acting as fiduciary or agent) we are purchasing Certificates to offer, sell or otherwise transfer such Certificates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Certificates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Certificates for investment purposes and not for distribution in violation of the Securities Act.    Each purchaser acknowledges that the Issuer, the Owner Trustee and the Certificate Registrar reserve the right prior to any offer, sale or other transfer of the Certificates to require the delivery of an opinion of counsel, certifications and/or other information satisfactory to the Issuer, the Owner Trustee and the Certificate Registrar.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For purposes hereof, the term “</w:t>
      </w:r>
      <w:r>
        <w:rPr>
          <w:rFonts w:ascii="Times New Roman" w:hAnsi="Times New Roman"/>
          <w:sz w:val="24"/>
          <w:u w:val="single"/>
        </w:rPr>
        <w:t>U.S. Person</w:t>
      </w:r>
      <w:r>
        <w:rPr>
          <w:rFonts w:ascii="Times New Roman" w:hAnsi="Times New Roman"/>
          <w:sz w:val="24"/>
        </w:rPr>
        <w:t>”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sz w:val="24"/>
          <w:u w:val="single"/>
        </w:rPr>
        <w:t>Enron Competitor</w:t>
      </w:r>
      <w:r>
        <w:rPr>
          <w:rFonts w:ascii="Times New Roman" w:hAnsi="Times New Roman"/>
          <w:sz w:val="24"/>
        </w:rPr>
        <w:t>” means any Person (other than Enron Corp. or any of its Affiliates or to the initial Certificate Holder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sz w:val="24"/>
          <w:u w:val="single"/>
        </w:rPr>
        <w:t>Benefit Plan Investor</w:t>
      </w:r>
      <w:r>
        <w:rPr>
          <w:rFonts w:ascii="Times New Roman" w:hAnsi="Times New Roman"/>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sz w:val="24"/>
          <w:u w:val="single"/>
        </w:rPr>
        <w:t>ERISA</w:t>
      </w:r>
      <w:r>
        <w:rPr>
          <w:rFonts w:ascii="Times New Roman" w:hAnsi="Times New Roman"/>
          <w:sz w:val="24"/>
        </w:rPr>
        <w:t xml:space="preserve">” means the Employee Retirement Income Security Act of 1974.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3.</w:t>
        <w:tab/>
        <w:t>We acknowledge, on our own behalf and on behalf of any investor account for which (acting as fiduciary or agent) we are purchasing the Certificate, that for purposes of federal, state and local income and franchise taxes and any other tax imposed on or measured by income, each purchaser of the Certificate, by acceptance of such Certificate, agrees to treat, and to take no action inconsistent with the treatment of, (i) the Issuer as a security device for the repayment of amounts due to the Lenders under that certain Facility Agreement, dated November </w:t>
      </w:r>
      <w:ins w:id="22" w:author="">
        <w:r>
          <w:rPr>
            <w:rFonts w:ascii="Times New Roman" w:hAnsi="Times New Roman"/>
            <w:strike/>
            <w:sz w:val="24"/>
          </w:rPr>
          <w:t>17</w:t>
        </w:r>
      </w:ins>
      <w:r>
        <w:rPr>
          <w:rFonts w:ascii="Times New Roman" w:hAnsi="Times New Roman"/>
          <w:sz w:val="24"/>
        </w:rPr>
        <w:t xml:space="preserve"> </w:t>
      </w:r>
      <w:ins w:id="23" w:author="">
        <w:r>
          <w:rPr>
            <w:rFonts w:ascii="Times New Roman" w:hAnsi="Times New Roman"/>
            <w:b/>
            <w:sz w:val="24"/>
            <w:u w:val="double"/>
          </w:rPr>
          <w:t>20</w:t>
        </w:r>
      </w:ins>
      <w:r>
        <w:rPr>
          <w:rFonts w:ascii="Times New Roman" w:hAnsi="Times New Roman"/>
          <w:sz w:val="24"/>
        </w:rPr>
        <w:t>, 2000, between the Issuer, CIBC Inc., as Agent, and the other financial institutions party thereto (the “</w:t>
      </w:r>
      <w:r>
        <w:rPr>
          <w:rFonts w:ascii="Times New Roman" w:hAnsi="Times New Roman"/>
          <w:sz w:val="24"/>
          <w:u w:val="single"/>
        </w:rPr>
        <w:t>Facility Agreement</w:t>
      </w:r>
      <w:r>
        <w:rPr>
          <w:rFonts w:ascii="Times New Roman" w:hAnsi="Times New Roman"/>
          <w:sz w:val="24"/>
        </w:rPr>
        <w:t>”) and the Certificate Holders, (ii) the Tranche (as defined in the Facility Agreement) with respect to the Series and the Certificate as indebtedness of the Sponsor (as defined in the Facility Agreement) for the Series, and (iii) the Class B Interest (as defined in the Facility Agreement) for the Series as pledged to secure the payment of such indebtedness.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4.</w:t>
        <w:tab/>
        <w:t>We acknowledge that the Certificates will bear a legend to the following effect unless the Issuer determines otherwise consistently with applicable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THIS SERIES CERTIFICATE IS SUBORDINATED IN RIGHT OF PAYMENT IN ALL RESPECTS TO THE NOTES REFERRED TO WITHIN.    THIS SERIES CERTIFICATE IS SUBJECT TO RESTRICTIONS ON TRANSFER AS FOLLOWS: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This Series Certificate has not been registered under the Securities Act of 1933, as amended (the “</w:t>
      </w:r>
      <w:r>
        <w:rPr>
          <w:rFonts w:ascii="Times New Roman" w:hAnsi="Times New Roman"/>
          <w:b/>
          <w:sz w:val="24"/>
          <w:u w:val="single"/>
        </w:rPr>
        <w:t>Securities Act</w:t>
      </w:r>
      <w:r>
        <w:rPr>
          <w:rFonts w:ascii="Times New Roman" w:hAnsi="Times New Roman"/>
          <w:b/>
          <w:sz w:val="24"/>
        </w:rPr>
        <w:t>”), or any state securities laws.    The trust has not been registered under the Investment Company Act of 1940, as amended (the “</w:t>
      </w:r>
      <w:r>
        <w:rPr>
          <w:rFonts w:ascii="Times New Roman" w:hAnsi="Times New Roman"/>
          <w:b/>
          <w:sz w:val="24"/>
          <w:u w:val="single"/>
        </w:rPr>
        <w:t>Investment Company Act</w:t>
      </w:r>
      <w:r>
        <w:rPr>
          <w:rFonts w:ascii="Times New Roman" w:hAnsi="Times New Roman"/>
          <w:b/>
          <w:sz w:val="24"/>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 xml:space="preserve">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w:t>
      </w:r>
      <w:ins w:id="24" w:author="">
        <w:r>
          <w:rPr>
            <w:rFonts w:ascii="Times New Roman" w:hAnsi="Times New Roman"/>
            <w:b/>
            <w:strike/>
            <w:sz w:val="24"/>
          </w:rPr>
          <w:t>17</w:t>
        </w:r>
      </w:ins>
      <w:r>
        <w:rPr>
          <w:rFonts w:ascii="Times New Roman" w:hAnsi="Times New Roman"/>
          <w:b/>
          <w:sz w:val="24"/>
        </w:rPr>
        <w:t xml:space="preserve"> </w:t>
      </w:r>
      <w:ins w:id="25" w:author="">
        <w:r>
          <w:rPr>
            <w:rFonts w:ascii="Times New Roman" w:hAnsi="Times New Roman"/>
            <w:b/>
            <w:sz w:val="24"/>
            <w:u w:val="double"/>
          </w:rPr>
          <w:t>20</w:t>
        </w:r>
      </w:ins>
      <w:r>
        <w:rPr>
          <w:rFonts w:ascii="Times New Roman" w:hAnsi="Times New Roman"/>
          <w:b/>
          <w:sz w:val="24"/>
        </w:rPr>
        <w:t>, 2000 (Hawaii II 125-0 Trust) (the “</w:t>
      </w:r>
      <w:r>
        <w:rPr>
          <w:rFonts w:ascii="Times New Roman" w:hAnsi="Times New Roman"/>
          <w:b/>
          <w:sz w:val="24"/>
          <w:u w:val="single"/>
        </w:rPr>
        <w:t>Trust Agreement”</w:t>
      </w:r>
      <w:r>
        <w:rPr>
          <w:rFonts w:ascii="Times New Roman" w:hAnsi="Times New Roman"/>
          <w:b/>
          <w:sz w:val="24"/>
        </w:rPr>
        <w:t>)) and to Enron Corp., as distributor (the “</w:t>
      </w:r>
      <w:r>
        <w:rPr>
          <w:rFonts w:ascii="Times New Roman" w:hAnsi="Times New Roman"/>
          <w:b/>
          <w:sz w:val="24"/>
          <w:u w:val="single"/>
        </w:rPr>
        <w:t>Certificate Distributor</w:t>
      </w:r>
      <w:r>
        <w:rPr>
          <w:rFonts w:ascii="Times New Roman" w:hAnsi="Times New Roman"/>
          <w:b/>
          <w:sz w:val="24"/>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By its acceptance, directly or through a nominee, of this Series Certificate, the purchaser will be deemed to have represented to the owner trustee and the Certificate Distributor that it (a) is a U.S. Person, (b) is not an Enron Competitor and (c) is not a Benefit Plan Investor.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For purposes hereof, the term “</w:t>
      </w:r>
      <w:r>
        <w:rPr>
          <w:rFonts w:ascii="Times New Roman" w:hAnsi="Times New Roman"/>
          <w:b/>
          <w:sz w:val="24"/>
          <w:u w:val="single"/>
        </w:rPr>
        <w:t>U.S. Person</w:t>
      </w:r>
      <w:r>
        <w:rPr>
          <w:rFonts w:ascii="Times New Roman" w:hAnsi="Times New Roman"/>
          <w:b/>
          <w:sz w:val="24"/>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ascii="Times New Roman" w:hAnsi="Times New Roman"/>
          <w:b/>
          <w:sz w:val="24"/>
          <w:u w:val="single"/>
        </w:rPr>
        <w:t>Enron Competitor</w:t>
      </w:r>
      <w:r>
        <w:rPr>
          <w:rFonts w:ascii="Times New Roman" w:hAnsi="Times New Roman"/>
          <w:b/>
          <w:sz w:val="24"/>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ascii="Times New Roman" w:hAnsi="Times New Roman"/>
          <w:b/>
          <w:sz w:val="24"/>
          <w:u w:val="single"/>
        </w:rPr>
        <w:t>Benefit Plan Investor</w:t>
      </w:r>
      <w:r>
        <w:rPr>
          <w:rFonts w:ascii="Times New Roman" w:hAnsi="Times New Roman"/>
          <w:b/>
          <w:sz w:val="24"/>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rFonts w:ascii="Times New Roman" w:hAnsi="Times New Roman"/>
          <w:b/>
          <w:sz w:val="24"/>
          <w:u w:val="single"/>
        </w:rPr>
        <w:t>ERISA</w:t>
      </w:r>
      <w:r>
        <w:rPr>
          <w:rFonts w:ascii="Times New Roman" w:hAnsi="Times New Roman"/>
          <w:b/>
          <w:sz w:val="24"/>
        </w:rPr>
        <w:t>” means the Employee Retirement Income Security Act of 1974, as amended.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b/>
          <w:sz w:val="24"/>
        </w:rPr>
      </w:pPr>
      <w:r>
        <w:rPr>
          <w:rFonts w:ascii="Times New Roman" w:hAnsi="Times New Roman"/>
          <w:b/>
          <w:sz w:val="24"/>
        </w:rPr>
        <w:tab/>
        <w:t>No representation is made by the Certificate Distributor, owner trustee or the issuer as to the characterization of this Series Certificate with respect to the legal investment restrictions applicable to any regulated entity.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5.</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t>Very truly yours,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b/>
          <w:sz w:val="24"/>
        </w:rPr>
      </w:pPr>
      <w:r>
        <w:rPr>
          <w:rFonts w:ascii="Times New Roman" w:hAnsi="Times New Roman"/>
          <w:b/>
          <w:sz w:val="24"/>
        </w:rPr>
        <w:t>CIBC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432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ind w:hanging="0" w:start="432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sz w:val="24"/>
        </w:rPr>
      </w:pPr>
      <w:r>
        <w:rPr>
          <w:rFonts w:ascii="Times New Roman" w:hAnsi="Times New Roman"/>
          <w:sz w:val="24"/>
        </w:rPr>
        <w:tab/>
        <w:tab/>
        <w:tab/>
        <w:tab/>
        <w:tab/>
        <w:tab/>
        <w:t>Name:</w:t>
      </w:r>
      <w:r>
        <w:rPr>
          <w:rFonts w:ascii="Times New Roman" w:hAnsi="Times New Roman"/>
          <w:sz w:val="24"/>
          <w:u w:val="single"/>
        </w:rPr>
        <w:tab/>
      </w:r>
    </w:p>
    <w:p>
      <w:pPr>
        <w:pStyle w:val="Normal"/>
        <w:tabs>
          <w:tab w:val="clear" w:pos="720"/>
          <w:tab w:val="left" w:pos="5040" w:leader="none"/>
          <w:tab w:val="left" w:pos="5760" w:leader="none"/>
          <w:tab w:val="left" w:pos="6480" w:leader="none"/>
          <w:tab w:val="left" w:pos="7200" w:leader="none"/>
          <w:tab w:val="left" w:pos="7920" w:leader="none"/>
          <w:tab w:val="left" w:pos="8640" w:leader="none"/>
          <w:tab w:val="right" w:pos="9360" w:leader="none"/>
        </w:tabs>
        <w:bidi w:val="0"/>
        <w:ind w:hanging="4320" w:start="4320"/>
        <w:jc w:val="start"/>
        <w:rPr>
          <w:rFonts w:ascii="Times New Roman" w:hAnsi="Times New Roman"/>
          <w:sz w:val="24"/>
        </w:rPr>
      </w:pPr>
      <w:r>
        <w:rPr>
          <w:rFonts w:ascii="Times New Roman" w:hAnsi="Times New Roman"/>
          <w:sz w:val="24"/>
        </w:rPr>
        <w:tab/>
        <w:tab/>
        <w:tab/>
        <w:tab/>
        <w:tab/>
        <w:tab/>
        <w:t>Title:</w:t>
      </w:r>
      <w:r>
        <w:rPr>
          <w:rFonts w:ascii="Times New Roman" w:hAnsi="Times New Roman"/>
          <w:sz w:val="24"/>
          <w:u w:val="single"/>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864" w:bottom="921"/>
          <w:formProt w:val="false"/>
          <w:textDirection w:val="lrTb"/>
          <w:docGrid w:type="default" w:linePitch="312" w:charSpace="2047"/>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Receipt acknowledged as the date set forth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BY: WILMINGTON TRUST COMPANY,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not in its individual capacity but solely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 xml:space="preserve">on behalf of the Issuer as Owner 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          </w:t>
      </w:r>
      <w:r>
        <w:rPr>
          <w:rFonts w:ascii="Times New Roman" w:hAnsi="Times New Roman"/>
          <w:sz w:val="24"/>
        </w:rPr>
        <w:t>Trustee under the Declaration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b/>
          <w:sz w:val="24"/>
        </w:rPr>
      </w:pPr>
      <w:r>
        <w:rPr>
          <w:rFonts w:ascii="Times New Roman" w:hAnsi="Times New Roman"/>
          <w:b/>
          <w:sz w:val="24"/>
        </w:rPr>
        <w:t>EXHIBIT 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start"/>
        <w:rPr>
          <w:rFonts w:ascii="Times New Roman" w:hAnsi="Times New Roman"/>
          <w:sz w:val="24"/>
        </w:rPr>
      </w:pPr>
      <w:r>
        <w:rPr>
          <w:rFonts w:ascii="Times New Roman" w:hAnsi="Times New Roman"/>
          <w:sz w:val="24"/>
        </w:rPr>
        <w:t>1.</w:t>
        <w:tab/>
        <w:t xml:space="preserve">Second Amended and Restated Trust Agreement by and between Wilmington Trust Company, as Owner Trustee and the Holders of Certificates from time to time thereunder, dated as of November </w:t>
      </w:r>
      <w:ins w:id="26" w:author="">
        <w:r>
          <w:rPr>
            <w:rFonts w:ascii="Times New Roman" w:hAnsi="Times New Roman"/>
            <w:strike/>
            <w:sz w:val="24"/>
          </w:rPr>
          <w:t>17</w:t>
        </w:r>
      </w:ins>
      <w:r>
        <w:rPr>
          <w:rFonts w:ascii="Times New Roman" w:hAnsi="Times New Roman"/>
          <w:sz w:val="24"/>
        </w:rPr>
        <w:t xml:space="preserve"> </w:t>
      </w:r>
      <w:ins w:id="27" w:author="">
        <w:r>
          <w:rPr>
            <w:rFonts w:ascii="Times New Roman" w:hAnsi="Times New Roman"/>
            <w:b/>
            <w:sz w:val="24"/>
            <w:u w:val="double"/>
          </w:rPr>
          <w:t>20</w:t>
        </w:r>
      </w:ins>
      <w:r>
        <w:rPr>
          <w:rFonts w:ascii="Times New Roman" w:hAnsi="Times New Roman"/>
          <w:sz w:val="24"/>
        </w:rPr>
        <w:t>, 2000 (Hawaii II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start="720"/>
        <w:jc w:val="start"/>
        <w:rPr>
          <w:rFonts w:ascii="Times New Roman" w:hAnsi="Times New Roman"/>
          <w:sz w:val="24"/>
        </w:rPr>
      </w:pPr>
      <w:r>
        <w:rPr>
          <w:rFonts w:ascii="Times New Roman" w:hAnsi="Times New Roman"/>
          <w:sz w:val="24"/>
        </w:rPr>
        <w:t>2.</w:t>
        <w:tab/>
        <w:t xml:space="preserve">Facility Agreement dated as of November </w:t>
      </w:r>
      <w:ins w:id="28" w:author="">
        <w:r>
          <w:rPr>
            <w:rFonts w:ascii="Times New Roman" w:hAnsi="Times New Roman"/>
            <w:strike/>
            <w:sz w:val="24"/>
          </w:rPr>
          <w:t>17</w:t>
        </w:r>
      </w:ins>
      <w:r>
        <w:rPr>
          <w:rFonts w:ascii="Times New Roman" w:hAnsi="Times New Roman"/>
          <w:sz w:val="24"/>
        </w:rPr>
        <w:t xml:space="preserve"> </w:t>
      </w:r>
      <w:ins w:id="29" w:author="">
        <w:r>
          <w:rPr>
            <w:rFonts w:ascii="Times New Roman" w:hAnsi="Times New Roman"/>
            <w:b/>
            <w:sz w:val="24"/>
            <w:u w:val="double"/>
          </w:rPr>
          <w:t>20</w:t>
        </w:r>
      </w:ins>
      <w:r>
        <w:rPr>
          <w:rFonts w:ascii="Times New Roman" w:hAnsi="Times New Roman"/>
          <w:sz w:val="24"/>
        </w:rPr>
        <w:t>, 2000 among the Trust, Canadian Imperial Bank of Commerce, as Agent and the financial institutions named therein, together with all Exhibits thereto.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even" r:id="rId26"/>
          <w:footerReference w:type="default" r:id="rId27"/>
          <w:footerReference w:type="first" r:id="rId28"/>
          <w:type w:val="nextPage"/>
          <w:pgSz w:w="12240" w:h="15840"/>
          <w:pgMar w:left="1440" w:right="1440" w:gutter="0" w:header="0" w:top="1440" w:footer="864" w:bottom="921"/>
          <w:pgNumType w:start="1" w:fmt="decimal"/>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ind w:hanging="720" w:start="720"/>
        <w:jc w:val="start"/>
        <w:rPr>
          <w:rFonts w:ascii="Times New Roman" w:hAnsi="Times New Roman"/>
          <w:sz w:val="24"/>
        </w:rPr>
      </w:pPr>
      <w:r>
        <w:rPr>
          <w:rFonts w:ascii="Times New Roman" w:hAnsi="Times New Roman"/>
          <w:sz w:val="24"/>
        </w:rPr>
        <w:t>3.</w:t>
        <w:tab/>
        <w:t>The Asset Notice and Asset Summary executed with respect to each Series Certificate.</w:t>
      </w:r>
    </w:p>
    <w:p>
      <w:pPr>
        <w:sectPr>
          <w:type w:val="continuous"/>
          <w:pgSz w:w="12240" w:h="15840"/>
          <w:pgMar w:left="1440" w:right="1440" w:gutter="0" w:header="0" w:top="1440" w:footer="864" w:bottom="921"/>
          <w:formProt w:val="false"/>
          <w:textDirection w:val="lrTb"/>
          <w:docGrid w:type="default" w:linePitch="10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COMPARISON OF FOOTERS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DAL: </w:t>
      </w:r>
      <w:ins w:id="30" w:author="">
        <w:r>
          <w:rPr>
            <w:rFonts w:ascii="Times New Roman" w:hAnsi="Times New Roman"/>
            <w:strike/>
            <w:sz w:val="24"/>
          </w:rPr>
          <w:t>265278.5</w:t>
        </w:r>
      </w:ins>
      <w:r>
        <w:rPr>
          <w:rFonts w:ascii="Times New Roman" w:hAnsi="Times New Roman"/>
          <w:sz w:val="24"/>
        </w:rPr>
        <w:t xml:space="preserve"> </w:t>
      </w:r>
      <w:ins w:id="31" w:author="">
        <w:r>
          <w:rPr>
            <w:rFonts w:ascii="Times New Roman" w:hAnsi="Times New Roman"/>
            <w:b/>
            <w:sz w:val="24"/>
            <w:u w:val="double"/>
          </w:rPr>
          <w:t>265278.6</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Project Hawaii II/Subscription Agreement - Signature Page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sectPr>
          <w:footerReference w:type="default" r:id="rId29"/>
          <w:type w:val="nextPage"/>
          <w:pgSz w:w="12240" w:h="15840"/>
          <w:pgMar w:left="1440" w:right="1440" w:gutter="0" w:header="0" w:top="1440" w:footer="864" w:bottom="921"/>
          <w:pgNumType w:fmt="decimal"/>
          <w:formProt w:val="false"/>
          <w:textDirection w:val="lrTb"/>
          <w:docGrid w:type="default" w:linePitch="10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spacing w:before="0" w:after="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C:\DOCUME~1\MCFAM\LOCALS~1\TEMP\DAL_265278_5</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C:\DOCUME~1\MCFAM\LOCALS~1\TEMP\DAL_265278_6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15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30"/>
      <w:footerReference w:type="first" r:id="rId31"/>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189865" cy="131445"/>
              <wp:effectExtent l="0" t="0" r="0" b="0"/>
              <wp:wrapTopAndBottom/>
              <wp:docPr id="6" name="Frame5"/>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II/Subscription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19">
              <wp:simplePos x="0" y="0"/>
              <wp:positionH relativeFrom="column">
                <wp:align>center</wp:align>
              </wp:positionH>
              <wp:positionV relativeFrom="margin">
                <wp:posOffset>0</wp:posOffset>
              </wp:positionV>
              <wp:extent cx="189865" cy="131445"/>
              <wp:effectExtent l="0" t="0" r="0" b="0"/>
              <wp:wrapTopAndBottom/>
              <wp:docPr id="7" name="Frame5"/>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19</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II/Subscription Agreement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189865" cy="131445"/>
              <wp:effectExtent l="0" t="0" r="0" b="0"/>
              <wp:wrapTopAndBottom/>
              <wp:docPr id="8" name="Frame6"/>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20</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20</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II/Subscription Agreement - Signature Page</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r>
      <mc:AlternateContent>
        <mc:Choice Requires="wps">
          <w:drawing>
            <wp:anchor behindDoc="0" distT="0" distB="0" distL="0" distR="0" simplePos="0" locked="0" layoutInCell="0" allowOverlap="1" relativeHeight="20">
              <wp:simplePos x="0" y="0"/>
              <wp:positionH relativeFrom="column">
                <wp:align>center</wp:align>
              </wp:positionH>
              <wp:positionV relativeFrom="margin">
                <wp:posOffset>0</wp:posOffset>
              </wp:positionV>
              <wp:extent cx="189865" cy="131445"/>
              <wp:effectExtent l="0" t="0" r="0" b="0"/>
              <wp:wrapTopAndBottom/>
              <wp:docPr id="9" name="Frame6"/>
              <a:graphic xmlns:a="http://schemas.openxmlformats.org/drawingml/2006/main">
                <a:graphicData uri="http://schemas.microsoft.com/office/word/2010/wordprocessingShape">
                  <wps:wsp>
                    <wps:cNvSpPr txBox="1"/>
                    <wps:spPr>
                      <a:xfrm>
                        <a:off x="0" y="0"/>
                        <a:ext cx="18986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20</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4.95pt;height:10.35pt;mso-wrap-distance-left:0pt;mso-wrap-distance-right:0pt;mso-wrap-distance-top:0pt;mso-wrap-distance-bottom:0pt;margin-top:0pt;mso-position-vertical-relative:margin;margin-left:226.55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20</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rPr>
    </w:pPr>
    <w:r>
      <w:rPr>
        <w:rFonts w:ascii="Times New Roman" w:hAnsi="Times New Roman"/>
        <w:b/>
      </w:rPr>
      <w:t>Project Hawaii II/Subscription Agreement - Signature Page</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1">
              <wp:simplePos x="0" y="0"/>
              <wp:positionH relativeFrom="column">
                <wp:align>center</wp:align>
              </wp:positionH>
              <wp:positionV relativeFrom="margin">
                <wp:posOffset>0</wp:posOffset>
              </wp:positionV>
              <wp:extent cx="237490" cy="175260"/>
              <wp:effectExtent l="0" t="0" r="0" b="0"/>
              <wp:wrapTopAndBottom/>
              <wp:docPr id="10"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DAL:265278.6</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1">
              <wp:simplePos x="0" y="0"/>
              <wp:positionH relativeFrom="column">
                <wp:align>center</wp:align>
              </wp:positionH>
              <wp:positionV relativeFrom="margin">
                <wp:posOffset>0</wp:posOffset>
              </wp:positionV>
              <wp:extent cx="237490" cy="175260"/>
              <wp:effectExtent l="0" t="0" r="0" b="0"/>
              <wp:wrapTopAndBottom/>
              <wp:docPr id="11" name="Frame7"/>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A-</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DAL:265278.6</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1" allowOverlap="1" relativeHeight="0">
              <wp:simplePos x="0" y="0"/>
              <wp:positionH relativeFrom="column">
                <wp:align>center</wp:align>
              </wp:positionH>
              <wp:positionV relativeFrom="margin">
                <wp:posOffset>0</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margin;margin-left:0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0</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DAL:265278.6</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3">
              <wp:simplePos x="0" y="0"/>
              <wp:positionH relativeFrom="column">
                <wp:align>center</wp:align>
              </wp:positionH>
              <wp:positionV relativeFrom="margin">
                <wp:posOffset>0</wp:posOffset>
              </wp:positionV>
              <wp:extent cx="229235" cy="175260"/>
              <wp:effectExtent l="0" t="0" r="0" b="0"/>
              <wp:wrapTopAndBottom/>
              <wp:docPr id="12"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DAL:265278.6</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3">
              <wp:simplePos x="0" y="0"/>
              <wp:positionH relativeFrom="column">
                <wp:align>center</wp:align>
              </wp:positionH>
              <wp:positionV relativeFrom="margin">
                <wp:posOffset>0</wp:posOffset>
              </wp:positionV>
              <wp:extent cx="229235" cy="175260"/>
              <wp:effectExtent l="0" t="0" r="0" b="0"/>
              <wp:wrapTopAndBottom/>
              <wp:docPr id="13"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DAL:265278.6</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9">
              <wp:simplePos x="0" y="0"/>
              <wp:positionH relativeFrom="column">
                <wp:align>center</wp:align>
              </wp:positionH>
              <wp:positionV relativeFrom="margin">
                <wp:posOffset>0</wp:posOffset>
              </wp:positionV>
              <wp:extent cx="229235" cy="175260"/>
              <wp:effectExtent l="0" t="0" r="0" b="0"/>
              <wp:wrapTopAndBottom/>
              <wp:docPr id="14"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DAL:265278.6</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9">
              <wp:simplePos x="0" y="0"/>
              <wp:positionH relativeFrom="column">
                <wp:align>center</wp:align>
              </wp:positionH>
              <wp:positionV relativeFrom="margin">
                <wp:posOffset>0</wp:posOffset>
              </wp:positionV>
              <wp:extent cx="229235" cy="175260"/>
              <wp:effectExtent l="0" t="0" r="0" b="0"/>
              <wp:wrapTopAndBottom/>
              <wp:docPr id="15" name="Frame9"/>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pt;mso-position-vertical-relative:margin;margin-left:22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B-</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8</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DAL:265278.6</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0">
              <wp:simplePos x="0" y="0"/>
              <wp:positionH relativeFrom="column">
                <wp:align>center</wp:align>
              </wp:positionH>
              <wp:positionV relativeFrom="margin">
                <wp:posOffset>0</wp:posOffset>
              </wp:positionV>
              <wp:extent cx="237490" cy="175260"/>
              <wp:effectExtent l="0" t="0" r="0" b="0"/>
              <wp:wrapTopAndBottom/>
              <wp:docPr id="16"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DAL:265278.6</w: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0">
              <wp:simplePos x="0" y="0"/>
              <wp:positionH relativeFrom="column">
                <wp:align>center</wp:align>
              </wp:positionH>
              <wp:positionV relativeFrom="margin">
                <wp:posOffset>0</wp:posOffset>
              </wp:positionV>
              <wp:extent cx="237490" cy="175260"/>
              <wp:effectExtent l="0" t="0" r="0" b="0"/>
              <wp:wrapTopAndBottom/>
              <wp:docPr id="17" name="Frame11"/>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pt;mso-position-vertical-relative:margin;margin-left:224.6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D-</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DAL:265278.6</w: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1">
              <wp:simplePos x="0" y="0"/>
              <wp:positionH relativeFrom="column">
                <wp:align>center</wp:align>
              </wp:positionH>
              <wp:positionV relativeFrom="margin">
                <wp:posOffset>0</wp:posOffset>
              </wp:positionV>
              <wp:extent cx="132715" cy="131445"/>
              <wp:effectExtent l="0" t="0" r="0" b="0"/>
              <wp:wrapTopAndBottom/>
              <wp:docPr id="18" name="Frame13"/>
              <a:graphic xmlns:a="http://schemas.openxmlformats.org/drawingml/2006/main">
                <a:graphicData uri="http://schemas.microsoft.com/office/word/2010/wordprocessingShape">
                  <wps:wsp>
                    <wps:cNvSpPr txBox="1"/>
                    <wps:spPr>
                      <a:xfrm>
                        <a:off x="0" y="0"/>
                        <a:ext cx="13271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0.45pt;height:10.35pt;mso-wrap-distance-left:0pt;mso-wrap-distance-right:0pt;mso-wrap-distance-top:0pt;mso-wrap-distance-bottom:0pt;margin-top:0pt;mso-position-vertical-relative:margin;margin-left:228.8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2</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DAL:265278.6</w: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32">
              <wp:simplePos x="0" y="0"/>
              <wp:positionH relativeFrom="column">
                <wp:align>center</wp:align>
              </wp:positionH>
              <wp:positionV relativeFrom="margin">
                <wp:posOffset>0</wp:posOffset>
              </wp:positionV>
              <wp:extent cx="132715" cy="131445"/>
              <wp:effectExtent l="0" t="0" r="0" b="0"/>
              <wp:wrapTopAndBottom/>
              <wp:docPr id="19" name="Frame14"/>
              <a:graphic xmlns:a="http://schemas.openxmlformats.org/drawingml/2006/main">
                <a:graphicData uri="http://schemas.microsoft.com/office/word/2010/wordprocessingShape">
                  <wps:wsp>
                    <wps:cNvSpPr txBox="1"/>
                    <wps:spPr>
                      <a:xfrm>
                        <a:off x="0" y="0"/>
                        <a:ext cx="132715" cy="131445"/>
                      </a:xfrm>
                      <a:prstGeom prst="rect"/>
                      <a:solidFill>
                        <a:srgbClr val="FFFFFF">
                          <a:alpha val="0"/>
                        </a:srgbClr>
                      </a:solidFill>
                    </wps:spPr>
                    <wps:txbx>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3</w:t>
                          </w:r>
                          <w:r>
                            <w:rPr>
                              <w:sz w:val="18"/>
                              <w:rFonts w:ascii="Times New Roman" w:hAnsi="Times New Roman"/>
                            </w:rPr>
                            <w:fldChar w:fldCharType="end"/>
                          </w:r>
                          <w:r>
                            <w:rPr>
                              <w:rFonts w:ascii="Times New Roman" w:hAnsi="Times New Roman"/>
                              <w:sz w:val="18"/>
                            </w:rPr>
                            <w:t>-</w:t>
                          </w:r>
                        </w:p>
                      </w:txbxContent>
                    </wps:txbx>
                    <wps:bodyPr anchor="t" lIns="0" tIns="0" rIns="0" bIns="0">
                      <a:spAutoFit/>
                    </wps:bodyPr>
                  </wps:wsp>
                </a:graphicData>
              </a:graphic>
            </wp:anchor>
          </w:drawing>
        </mc:Choice>
        <mc:Fallback>
          <w:pict>
            <v:rect fillcolor="#FFFFFF" style="position:absolute;rotation:-0;width:10.45pt;height:10.35pt;mso-wrap-distance-left:0pt;mso-wrap-distance-right:0pt;mso-wrap-distance-top:0pt;mso-wrap-distance-bottom:0pt;margin-top:0pt;mso-position-vertical-relative:margin;margin-left:228.8pt;mso-position-horizontal:center;mso-position-horizontal-relative:text">
              <v:fill opacity="0f"/>
              <v:textbox inset="0in,0in,0in,0in">
                <w:txbxContent>
                  <w:p>
                    <w:pPr>
                      <w:pStyle w:val="Normal"/>
                      <w:pBdr/>
                      <w:bidi w:val="0"/>
                      <w:jc w:val="start"/>
                      <w:rPr>
                        <w:rFonts w:ascii="Times New Roman" w:hAnsi="Times New Roman"/>
                        <w:sz w:val="18"/>
                      </w:rPr>
                    </w:pPr>
                    <w:r>
                      <w:rPr>
                        <w:rFonts w:ascii="Times New Roman" w:hAnsi="Times New Roman"/>
                        <w:sz w:val="18"/>
                      </w:rPr>
                      <w:t>-</w:t>
                    </w:r>
                    <w:r>
                      <w:rPr>
                        <w:rFonts w:ascii="Times New Roman" w:hAnsi="Times New Roman"/>
                        <w:sz w:val="18"/>
                      </w:rPr>
                      <w:fldChar w:fldCharType="begin"/>
                    </w:r>
                    <w:r>
                      <w:rPr>
                        <w:sz w:val="18"/>
                        <w:rFonts w:ascii="Times New Roman" w:hAnsi="Times New Roman"/>
                      </w:rPr>
                      <w:instrText xml:space="preserve"> PAGE </w:instrText>
                    </w:r>
                    <w:r>
                      <w:rPr>
                        <w:sz w:val="18"/>
                        <w:rFonts w:ascii="Times New Roman" w:hAnsi="Times New Roman"/>
                      </w:rPr>
                      <w:fldChar w:fldCharType="separate"/>
                    </w:r>
                    <w:r>
                      <w:rPr>
                        <w:sz w:val="18"/>
                        <w:rFonts w:ascii="Times New Roman" w:hAnsi="Times New Roman"/>
                      </w:rPr>
                      <w:t>3</w:t>
                    </w:r>
                    <w:r>
                      <w:rPr>
                        <w:sz w:val="18"/>
                        <w:rFonts w:ascii="Times New Roman" w:hAnsi="Times New Roman"/>
                      </w:rPr>
                      <w:fldChar w:fldCharType="end"/>
                    </w:r>
                    <w:r>
                      <w:rPr>
                        <w:rFonts w:ascii="Times New Roman" w:hAnsi="Times New Roman"/>
                        <w:sz w:val="18"/>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77165" cy="175260"/>
              <wp:effectExtent l="0" t="0" r="0" b="0"/>
              <wp:wrapTopAndBottom/>
              <wp:docPr id="2"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DAL:265278.6</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2">
              <wp:simplePos x="0" y="0"/>
              <wp:positionH relativeFrom="column">
                <wp:align>center</wp:align>
              </wp:positionH>
              <wp:positionV relativeFrom="margin">
                <wp:posOffset>0</wp:posOffset>
              </wp:positionV>
              <wp:extent cx="177165" cy="175260"/>
              <wp:effectExtent l="0" t="0" r="0" b="0"/>
              <wp:wrapTopAndBottom/>
              <wp:docPr id="3" name="Frame2"/>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2</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DAL:265278.6</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253365" cy="175260"/>
              <wp:effectExtent l="0" t="0" r="0" b="0"/>
              <wp:wrapTopAndBottom/>
              <wp:docPr id="4" name="Frame3"/>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DAL:265278.6</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18">
              <wp:simplePos x="0" y="0"/>
              <wp:positionH relativeFrom="column">
                <wp:align>center</wp:align>
              </wp:positionH>
              <wp:positionV relativeFrom="margin">
                <wp:posOffset>0</wp:posOffset>
              </wp:positionV>
              <wp:extent cx="253365" cy="175260"/>
              <wp:effectExtent l="0" t="0" r="0" b="0"/>
              <wp:wrapTopAndBottom/>
              <wp:docPr id="5" name="Frame3"/>
              <a:graphic xmlns:a="http://schemas.openxmlformats.org/drawingml/2006/main">
                <a:graphicData uri="http://schemas.microsoft.com/office/word/2010/wordprocessingShape">
                  <wps:wsp>
                    <wps:cNvSpPr txBox="1"/>
                    <wps:spPr>
                      <a:xfrm>
                        <a:off x="0" y="0"/>
                        <a:ext cx="2533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9.95pt;height:13.8pt;mso-wrap-distance-left:0pt;mso-wrap-distance-right:0pt;mso-wrap-distance-top:0pt;mso-wrap-distance-bottom:0pt;margin-top:0pt;mso-position-vertical-relative:margin;margin-left:224.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18</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DAL:265278.6</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SectionHead">
    <w:name w:val="     !SectionHead"/>
    <w:qFormat/>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i">
    <w:name w:val="!(i)"/>
    <w:qFormat/>
    <w:pPr>
      <w:widowControl w:val="false"/>
      <w:bidi w:val="0"/>
      <w:spacing w:before="0" w:after="240"/>
      <w:ind w:start="720"/>
      <w:jc w:val="both"/>
    </w:pPr>
    <w:rPr>
      <w:rFonts w:ascii="Liberation Serif" w:hAnsi="Liberation Serif" w:eastAsia="Liberation Sans" w:cs="NotoSans NF"/>
      <w:color w:val="auto"/>
      <w:kern w:val="2"/>
      <w:sz w:val="24"/>
      <w:szCs w:val="24"/>
      <w:lang w:val="en-CA" w:eastAsia="zh-CN" w:bidi="hi-IN"/>
    </w:rPr>
  </w:style>
  <w:style w:type="paragraph" w:styleId="AUC">
    <w:name w:val="!(A)UC"/>
    <w:qFormat/>
    <w:pPr>
      <w:widowControl w:val="false"/>
      <w:bidi w:val="0"/>
      <w:spacing w:before="0" w:after="240"/>
      <w:ind w:start="1440"/>
      <w:jc w:val="both"/>
    </w:pPr>
    <w:rPr>
      <w:rFonts w:ascii="Liberation Serif" w:hAnsi="Liberation Serif" w:eastAsia="Liberation Sans" w:cs="NotoSans NF"/>
      <w:color w:val="auto"/>
      <w:kern w:val="2"/>
      <w:sz w:val="24"/>
      <w:szCs w:val="24"/>
      <w:lang w:val="en-CA" w:eastAsia="zh-CN" w:bidi="hi-IN"/>
    </w:rPr>
  </w:style>
  <w:style w:type="paragraph" w:styleId="a">
    <w:name w:val="!(a)"/>
    <w:qFormat/>
    <w:pPr>
      <w:widowControl w:val="false"/>
      <w:bidi w:val="0"/>
      <w:spacing w:before="0" w:after="240"/>
      <w:jc w:val="both"/>
    </w:pPr>
    <w:rPr>
      <w:rFonts w:ascii="Liberation Serif" w:hAnsi="Liberation Serif" w:eastAsia="Liberation Sans" w:cs="NotoSans NF"/>
      <w:color w:val="auto"/>
      <w:kern w:val="2"/>
      <w:sz w:val="24"/>
      <w:szCs w:val="24"/>
      <w:lang w:val="en-CA" w:eastAsia="zh-CN" w:bidi="hi-IN"/>
    </w:rPr>
  </w:style>
  <w:style w:type="paragraph" w:styleId="Level2">
    <w:name w:val="Level 2"/>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3">
    <w:name w:val="Level 3"/>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4">
    <w:name w:val="Level 4"/>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5">
    <w:name w:val="Level 5"/>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6">
    <w:name w:val="Level 6"/>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7">
    <w:name w:val="Level 7"/>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8">
    <w:name w:val="Level 8"/>
    <w:qFormat/>
    <w:pPr>
      <w:widowControl w:val="false"/>
      <w:bidi w:val="0"/>
      <w:ind w:start="-1440"/>
    </w:pPr>
    <w:rPr>
      <w:rFonts w:ascii="Liberation Serif" w:hAnsi="Liberation Serif" w:eastAsia="Liberation Sans" w:cs="NotoSans NF"/>
      <w:color w:val="auto"/>
      <w:kern w:val="2"/>
      <w:sz w:val="24"/>
      <w:szCs w:val="24"/>
      <w:lang w:val="en-CA" w:eastAsia="zh-CN" w:bidi="hi-IN"/>
    </w:rPr>
  </w:style>
  <w:style w:type="paragraph" w:styleId="Level9">
    <w:name w:val="Level 9"/>
    <w:qFormat/>
    <w:pPr>
      <w:widowControl w:val="false"/>
      <w:bidi w:val="0"/>
      <w:ind w:start="-1440"/>
    </w:pPr>
    <w:rPr>
      <w:rFonts w:ascii="Liberation Serif" w:hAnsi="Liberation Serif" w:eastAsia="Liberation Sans" w:cs="NotoSans NF"/>
      <w:b/>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