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sz w:val="24"/>
        </w:rPr>
        <w:tab/>
      </w:r>
      <w:r>
        <w:rPr>
          <w:b/>
          <w:sz w:val="24"/>
        </w:rPr>
        <w:t>HAWAII II 125-0</w:t>
      </w:r>
    </w:p>
    <w:p>
      <w:pPr>
        <w:pStyle w:val="Normal"/>
        <w:widowControl/>
        <w:rPr>
          <w:b/>
          <w:sz w:val="24"/>
        </w:rPr>
      </w:pPr>
      <w:r>
        <w:rPr>
          <w:b/>
          <w:sz w:val="24"/>
        </w:rPr>
      </w:r>
    </w:p>
    <w:p>
      <w:pPr>
        <w:pStyle w:val="Normal"/>
        <w:widowControl/>
        <w:tabs>
          <w:tab w:val="clear" w:pos="720"/>
          <w:tab w:val="center" w:pos="4680" w:leader="none"/>
        </w:tabs>
        <w:rPr>
          <w:sz w:val="24"/>
        </w:rPr>
      </w:pPr>
      <w:r>
        <w:rPr>
          <w:b/>
          <w:sz w:val="24"/>
        </w:rPr>
        <w:tab/>
        <w:t>BENEFICIAL INTEREST CERTIFICATE</w:t>
      </w:r>
    </w:p>
    <w:p>
      <w:pPr>
        <w:pStyle w:val="Normal"/>
        <w:widowControl/>
        <w:rPr>
          <w:sz w:val="24"/>
        </w:rPr>
      </w:pPr>
      <w:r>
        <w:rPr>
          <w:sz w:val="24"/>
        </w:rPr>
      </w:r>
    </w:p>
    <w:p>
      <w:pPr>
        <w:pStyle w:val="Normal"/>
        <w:widowControl/>
        <w:rPr>
          <w:sz w:val="24"/>
        </w:rPr>
      </w:pPr>
      <w:r>
        <w:rPr>
          <w:b/>
          <w:sz w:val="24"/>
        </w:rPr>
        <w:t>THIS BENEFICIAL INTEREST CERTIFICATE IS SUBORDINATED IN RIGHT OF PAYMENT IN ALL RESPECTS TO THE NOTES REFERRED TO WITHIN.  THIS BENEFICIAL INTEREST CERTIFICATE IS SUBJECT TO RESTRICTIONS ON TRANSFER AS FOLLOWS:</w:t>
      </w:r>
    </w:p>
    <w:p>
      <w:pPr>
        <w:pStyle w:val="Normal"/>
        <w:widowControl/>
        <w:rPr>
          <w:sz w:val="24"/>
        </w:rPr>
      </w:pPr>
      <w:r>
        <w:rPr>
          <w:sz w:val="24"/>
        </w:rPr>
      </w:r>
    </w:p>
    <w:p>
      <w:pPr>
        <w:pStyle w:val="Normal"/>
        <w:widowControl/>
        <w:rPr/>
      </w:pPr>
      <w:r>
        <w:rPr>
          <w:b/>
          <w:sz w:val="24"/>
        </w:rPr>
        <w:tab/>
        <w:t>This 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sz w:val="24"/>
        </w:rPr>
      </w:pPr>
      <w:r>
        <w:rPr>
          <w:b/>
          <w:sz w:val="24"/>
        </w:rPr>
      </w:r>
    </w:p>
    <w:p>
      <w:pPr>
        <w:pStyle w:val="Normal"/>
        <w:widowControl/>
        <w:rPr/>
      </w:pPr>
      <w:r>
        <w:rPr>
          <w:b/>
          <w:sz w:val="24"/>
        </w:rPr>
        <w:tab/>
        <w:t>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17, 2000 (Hawaii II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rPr>
          <w:b/>
          <w:sz w:val="24"/>
        </w:rPr>
      </w:pPr>
      <w:r>
        <w:rPr>
          <w:b/>
          <w:sz w:val="24"/>
        </w:rPr>
      </w:r>
    </w:p>
    <w:p>
      <w:pPr>
        <w:pStyle w:val="Normal"/>
        <w:widowControl/>
        <w:rPr/>
      </w:pPr>
      <w:r>
        <w:rPr>
          <w:b/>
          <w:sz w:val="24"/>
        </w:rPr>
        <w:tab/>
        <w:t xml:space="preserve">By its acceptance, directly or through a nominee, of this Beneficial Interest Certificate, the purchaser will be deemed </w:t>
      </w:r>
      <w:r>
        <w:rPr>
          <w:b/>
          <w:strike/>
          <w:color w:val="FF0000"/>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rPr>
          <w:b/>
          <w:sz w:val="24"/>
        </w:rPr>
      </w:pPr>
      <w:r>
        <w:rPr>
          <w:b/>
          <w:sz w:val="24"/>
        </w:rPr>
      </w:r>
    </w:p>
    <w:p>
      <w:pPr>
        <w:pStyle w:val="Normal"/>
        <w:widowControl/>
        <w:rPr>
          <w:b/>
          <w:sz w:val="24"/>
        </w:rPr>
      </w:pPr>
      <w:r>
        <w:rPr>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rPr>
          <w:b/>
          <w:sz w:val="24"/>
        </w:rPr>
      </w:pPr>
      <w:r>
        <w:rPr>
          <w:b/>
          <w:sz w:val="24"/>
        </w:rPr>
      </w:r>
    </w:p>
    <w:p>
      <w:pPr>
        <w:pStyle w:val="Normal"/>
        <w:widowControl/>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rPr>
          <w:b/>
          <w:sz w:val="24"/>
        </w:rPr>
      </w:pPr>
      <w:r>
        <w:rPr>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rPr>
          <w:b/>
          <w:sz w:val="24"/>
        </w:rPr>
      </w:pPr>
      <w:r>
        <w:rPr>
          <w:b/>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numPr>
          <w:ilvl w:val="0"/>
          <w:numId w:val="0"/>
        </w:numPr>
        <w:rPr>
          <w:sz w:val="24"/>
        </w:rPr>
      </w:pPr>
      <w:r>
        <w:rPr>
          <w:sz w:val="24"/>
        </w:rPr>
      </w:r>
      <w:r>
        <w:br w:type="page"/>
      </w:r>
    </w:p>
    <w:p>
      <w:pPr>
        <w:pStyle w:val="Normal"/>
        <w:widowControl/>
        <w:rPr>
          <w:sz w:val="24"/>
        </w:rPr>
      </w:pPr>
      <w:r>
        <w:rPr>
          <w:sz w:val="24"/>
        </w:rPr>
      </w:r>
    </w:p>
    <w:p>
      <w:pPr>
        <w:pStyle w:val="Normal"/>
        <w:widowControl/>
        <w:jc w:val="center"/>
        <w:rPr>
          <w:sz w:val="24"/>
        </w:rPr>
      </w:pPr>
      <w:r>
        <w:rPr>
          <w:sz w:val="24"/>
        </w:rPr>
        <w:t xml:space="preserve">HAWAII II 125-0 TRUST </w:t>
      </w:r>
    </w:p>
    <w:p>
      <w:pPr>
        <w:pStyle w:val="Normal"/>
        <w:widowControl/>
        <w:jc w:val="center"/>
        <w:rPr>
          <w:sz w:val="24"/>
        </w:rPr>
      </w:pPr>
      <w:r>
        <w:rPr>
          <w:sz w:val="24"/>
        </w:rPr>
      </w:r>
    </w:p>
    <w:p>
      <w:pPr>
        <w:pStyle w:val="Normal"/>
        <w:widowControl/>
        <w:jc w:val="center"/>
        <w:rPr>
          <w:sz w:val="24"/>
        </w:rPr>
      </w:pPr>
      <w:r>
        <w:rPr>
          <w:sz w:val="24"/>
        </w:rPr>
        <w:t>BENEFICIAL INTEREST CERTIFICATE OF BENEFICIAL OWNERSHIP</w:t>
      </w:r>
    </w:p>
    <w:p>
      <w:pPr>
        <w:pStyle w:val="Normal"/>
        <w:widowControl/>
        <w:jc w:val="center"/>
        <w:rPr>
          <w:sz w:val="24"/>
        </w:rPr>
      </w:pPr>
      <w:r>
        <w:rPr>
          <w:sz w:val="24"/>
        </w:rPr>
      </w:r>
    </w:p>
    <w:p>
      <w:pPr>
        <w:pStyle w:val="Normal"/>
        <w:widowControl/>
        <w:jc w:val="both"/>
        <w:rPr>
          <w:sz w:val="24"/>
        </w:rPr>
      </w:pPr>
      <w:r>
        <w:rPr>
          <w:sz w:val="24"/>
        </w:rPr>
        <w:t>evidencing a fractional undivided interest in Hawaii II 125-0 Trust, a Delaware Business Trust (the “Trust”).</w:t>
      </w:r>
    </w:p>
    <w:p>
      <w:pPr>
        <w:pStyle w:val="Normal"/>
        <w:widowControl/>
        <w:jc w:val="both"/>
        <w:rPr>
          <w:sz w:val="24"/>
        </w:rPr>
      </w:pPr>
      <w:r>
        <w:rPr>
          <w:sz w:val="24"/>
        </w:rPr>
      </w:r>
    </w:p>
    <w:p>
      <w:pPr>
        <w:pStyle w:val="Normal"/>
        <w:widowControl/>
        <w:jc w:val="both"/>
        <w:rPr>
          <w:sz w:val="24"/>
        </w:rPr>
      </w:pPr>
      <w:r>
        <w:rPr>
          <w:sz w:val="24"/>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CERTIFIES THAT CIBC Inc. is the registered owner of a One Hundred Dollar ($100) nonassessable, fully-paid, fractional undivided beneficial interest in the Trust.  The Trust is governed by the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w:t>
      </w:r>
      <w:r>
        <w:rPr>
          <w:strike/>
          <w:color w:val="FF0000"/>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DAL: </w:t>
      </w:r>
      <w:r>
        <w:rPr>
          <w:strike/>
          <w:color w:val="FF0000"/>
          <w:sz w:val="24"/>
        </w:rPr>
        <w:t>265276.3</w:t>
      </w:r>
      <w:r>
        <w:rPr>
          <w:sz w:val="24"/>
        </w:rPr>
        <w:t xml:space="preserve"> </w:t>
      </w:r>
      <w:r>
        <w:rPr>
          <w:b/>
          <w:color w:val="FF0000"/>
          <w:sz w:val="24"/>
          <w:u w:val="double"/>
        </w:rPr>
        <w:t>265276.4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Project Hawaii II/Beneficial Interest Certificate - Signature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sectPr>
          <w:type w:val="continuous"/>
          <w:pgSz w:orient="landscape" w:w="12240" w:h="15840"/>
          <w:pgMar w:left="1440" w:right="1440" w:gutter="0" w:header="1440" w:top="1920" w:footer="1440" w:bottom="1860"/>
          <w:formProt w:val="false"/>
          <w:textDirection w:val="lrTb"/>
          <w:docGrid w:type="default" w:linePitch="360" w:charSpace="0"/>
        </w:sectPr>
        <w:pStyle w:val="Normal"/>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original document   : C:\DOCUME~1\KRECC\LOCALS~1\TEMP\DAL_265276_3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and revised document: C:\DOCUME~1\KRECC\LOCALS~1\TEMP\DAL_265276_4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CompareRite found    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sz w:val="24"/>
        </w:rPr>
      </w:pPr>
      <w:r>
        <w:rPr>
          <w:sz w:val="24"/>
        </w:rPr>
        <w:t xml:space="preserve">Additions appear as Bold+Dbl Underline text </w:t>
      </w:r>
    </w:p>
    <w:sectPr>
      <w:headerReference w:type="even" r:id="rId16"/>
      <w:headerReference w:type="default" r:id="rId17"/>
      <w:footerReference w:type="even" r:id="rId18"/>
      <w:footerReference w:type="default" r:id="rId19"/>
      <w:type w:val="nextPage"/>
      <w:pgSz w:orient="landscape"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DAL:265276.4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DAL:265276.4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